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9F062" w14:textId="6D8C9D56" w:rsidR="004A5A16" w:rsidRPr="00CE705E" w:rsidRDefault="004A5A16" w:rsidP="00494407">
      <w:pPr>
        <w:pStyle w:val="ICMEAuthorInstitution"/>
        <w:rPr>
          <w:b/>
          <w:bCs/>
          <w:caps/>
          <w:sz w:val="28"/>
          <w:szCs w:val="32"/>
        </w:rPr>
      </w:pPr>
      <w:r w:rsidRPr="00CE705E">
        <w:rPr>
          <w:b/>
          <w:bCs/>
          <w:caps/>
          <w:sz w:val="28"/>
          <w:szCs w:val="32"/>
        </w:rPr>
        <w:t>Academician</w:t>
      </w:r>
      <w:r w:rsidR="001951A4">
        <w:rPr>
          <w:b/>
          <w:bCs/>
          <w:caps/>
          <w:sz w:val="28"/>
          <w:szCs w:val="32"/>
        </w:rPr>
        <w:t>s</w:t>
      </w:r>
      <w:r w:rsidRPr="00CE705E">
        <w:rPr>
          <w:b/>
          <w:bCs/>
          <w:caps/>
          <w:sz w:val="28"/>
          <w:szCs w:val="32"/>
        </w:rPr>
        <w:t xml:space="preserve"> as Teacher</w:t>
      </w:r>
      <w:r w:rsidR="001951A4">
        <w:rPr>
          <w:b/>
          <w:bCs/>
          <w:caps/>
          <w:sz w:val="28"/>
          <w:szCs w:val="32"/>
        </w:rPr>
        <w:t>s</w:t>
      </w:r>
      <w:r w:rsidRPr="00CE705E">
        <w:rPr>
          <w:b/>
          <w:bCs/>
          <w:caps/>
          <w:sz w:val="28"/>
          <w:szCs w:val="32"/>
        </w:rPr>
        <w:t xml:space="preserve">: Nurturing Teaching Experience </w:t>
      </w:r>
    </w:p>
    <w:p w14:paraId="5D37AF79" w14:textId="70B5038F" w:rsidR="00494407" w:rsidRPr="00CE705E" w:rsidRDefault="004A5A16" w:rsidP="00494407">
      <w:pPr>
        <w:pStyle w:val="ICMEAuthorInstitution"/>
      </w:pPr>
      <w:r w:rsidRPr="00CE705E">
        <w:rPr>
          <w:u w:val="single"/>
        </w:rPr>
        <w:t xml:space="preserve">Zelha </w:t>
      </w:r>
      <w:proofErr w:type="spellStart"/>
      <w:r w:rsidRPr="00CE705E">
        <w:rPr>
          <w:u w:val="single"/>
        </w:rPr>
        <w:t>Tunç</w:t>
      </w:r>
      <w:proofErr w:type="spellEnd"/>
      <w:r w:rsidRPr="00CE705E">
        <w:rPr>
          <w:u w:val="single"/>
        </w:rPr>
        <w:t>-Pekkan,</w:t>
      </w:r>
      <w:r w:rsidRPr="00CE705E">
        <w:t xml:space="preserve"> </w:t>
      </w:r>
      <w:r w:rsidR="00E4353D" w:rsidRPr="00CE705E">
        <w:t xml:space="preserve">R. </w:t>
      </w:r>
      <w:r w:rsidRPr="00CE705E">
        <w:t xml:space="preserve">Didem Taylan, </w:t>
      </w:r>
      <w:proofErr w:type="spellStart"/>
      <w:r w:rsidRPr="00CE705E">
        <w:t>Bengi</w:t>
      </w:r>
      <w:proofErr w:type="spellEnd"/>
      <w:r w:rsidRPr="00CE705E">
        <w:t xml:space="preserve"> </w:t>
      </w:r>
      <w:proofErr w:type="spellStart"/>
      <w:r w:rsidRPr="00CE705E">
        <w:t>Birgili</w:t>
      </w:r>
      <w:proofErr w:type="spellEnd"/>
      <w:r w:rsidR="00384925" w:rsidRPr="00CE705E">
        <w:t xml:space="preserve">, </w:t>
      </w:r>
      <w:proofErr w:type="spellStart"/>
      <w:r w:rsidR="00384925" w:rsidRPr="00CE705E">
        <w:t>Utkun</w:t>
      </w:r>
      <w:proofErr w:type="spellEnd"/>
      <w:r w:rsidR="00384925" w:rsidRPr="00CE705E">
        <w:t xml:space="preserve"> </w:t>
      </w:r>
      <w:proofErr w:type="spellStart"/>
      <w:r w:rsidR="00384925" w:rsidRPr="00CE705E">
        <w:t>Aydın</w:t>
      </w:r>
      <w:proofErr w:type="spellEnd"/>
      <w:r w:rsidR="00384925" w:rsidRPr="00CE705E">
        <w:t xml:space="preserve">, Mustafa </w:t>
      </w:r>
      <w:proofErr w:type="spellStart"/>
      <w:r w:rsidR="00384925" w:rsidRPr="00CE705E">
        <w:t>Ö</w:t>
      </w:r>
      <w:r w:rsidR="00862DF0" w:rsidRPr="00CE705E">
        <w:t>zcan</w:t>
      </w:r>
      <w:proofErr w:type="spellEnd"/>
    </w:p>
    <w:p w14:paraId="70379023" w14:textId="0BDBBC1D" w:rsidR="00494407" w:rsidRPr="00CE705E" w:rsidRDefault="004A5A16" w:rsidP="006448BD">
      <w:pPr>
        <w:pStyle w:val="ICMEAuthorInstitution"/>
      </w:pPr>
      <w:r w:rsidRPr="00CE705E">
        <w:t>MEF University, İstanbul, TURKEY</w:t>
      </w:r>
    </w:p>
    <w:p w14:paraId="0DCF1301" w14:textId="130F8B79" w:rsidR="00236C5E" w:rsidRPr="006448BD" w:rsidRDefault="004A5A16" w:rsidP="006448BD">
      <w:pPr>
        <w:pStyle w:val="ICMEAbstract"/>
      </w:pPr>
      <w:r w:rsidRPr="006448BD">
        <w:t xml:space="preserve">Four academicians volunteered to teach 5th grade </w:t>
      </w:r>
      <w:r w:rsidR="00422F0A" w:rsidRPr="006448BD">
        <w:t>mathematics</w:t>
      </w:r>
      <w:r w:rsidRPr="006448BD">
        <w:t xml:space="preserve"> for </w:t>
      </w:r>
      <w:r w:rsidR="00110922">
        <w:t>one</w:t>
      </w:r>
      <w:r w:rsidRPr="006448BD">
        <w:t xml:space="preserve"> year</w:t>
      </w:r>
      <w:r w:rsidR="00373542" w:rsidRPr="006448BD">
        <w:t xml:space="preserve"> </w:t>
      </w:r>
      <w:r w:rsidR="00A206B2" w:rsidRPr="006448BD">
        <w:t xml:space="preserve">in a Turkish </w:t>
      </w:r>
      <w:r w:rsidR="00384925" w:rsidRPr="006448BD">
        <w:t xml:space="preserve">public </w:t>
      </w:r>
      <w:r w:rsidR="00A206B2" w:rsidRPr="006448BD">
        <w:t>school</w:t>
      </w:r>
      <w:r w:rsidRPr="006448BD">
        <w:t xml:space="preserve">. </w:t>
      </w:r>
      <w:r w:rsidR="00422F0A" w:rsidRPr="006448BD">
        <w:t>Academicians met ever</w:t>
      </w:r>
      <w:r w:rsidR="00384925" w:rsidRPr="006448BD">
        <w:t xml:space="preserve">y week for 40 weeks </w:t>
      </w:r>
      <w:r w:rsidR="00422F0A" w:rsidRPr="006448BD">
        <w:t xml:space="preserve">where they discussed what to teach, how to teach and </w:t>
      </w:r>
      <w:r w:rsidR="0042335C" w:rsidRPr="006448BD">
        <w:t>reflect</w:t>
      </w:r>
      <w:r w:rsidR="00B27FD3" w:rsidRPr="006448BD">
        <w:t>ed</w:t>
      </w:r>
      <w:r w:rsidR="0042335C" w:rsidRPr="006448BD">
        <w:t xml:space="preserve"> on </w:t>
      </w:r>
      <w:r w:rsidR="00B27FD3" w:rsidRPr="006448BD">
        <w:t xml:space="preserve">implementation of </w:t>
      </w:r>
      <w:proofErr w:type="gramStart"/>
      <w:r w:rsidR="00B27FD3" w:rsidRPr="006448BD">
        <w:t>their</w:t>
      </w:r>
      <w:proofErr w:type="gramEnd"/>
      <w:r w:rsidR="00B27FD3" w:rsidRPr="006448BD">
        <w:t xml:space="preserve"> shared planning</w:t>
      </w:r>
      <w:r w:rsidR="00422F0A" w:rsidRPr="006448BD">
        <w:t>.</w:t>
      </w:r>
      <w:r w:rsidR="001E5278" w:rsidRPr="006448BD">
        <w:t xml:space="preserve"> </w:t>
      </w:r>
      <w:r w:rsidR="006448BD" w:rsidRPr="006448BD">
        <w:t>V</w:t>
      </w:r>
      <w:r w:rsidR="00A206B2" w:rsidRPr="006448BD">
        <w:t xml:space="preserve">ideotapes of first six </w:t>
      </w:r>
      <w:r w:rsidR="006448BD" w:rsidRPr="006448BD">
        <w:t>Regular Meetings</w:t>
      </w:r>
      <w:r w:rsidR="00A206B2" w:rsidRPr="006448BD">
        <w:t xml:space="preserve"> and six</w:t>
      </w:r>
      <w:r w:rsidR="00422F0A" w:rsidRPr="006448BD">
        <w:t xml:space="preserve"> weeks of </w:t>
      </w:r>
      <w:r w:rsidR="006448BD" w:rsidRPr="006448BD">
        <w:t>Research Meetings were analyzed</w:t>
      </w:r>
      <w:r w:rsidR="00B27FD3" w:rsidRPr="006448BD">
        <w:t>. The</w:t>
      </w:r>
      <w:r w:rsidR="00422F0A" w:rsidRPr="006448BD">
        <w:t xml:space="preserve"> focus</w:t>
      </w:r>
      <w:r w:rsidR="00B27FD3" w:rsidRPr="006448BD">
        <w:t xml:space="preserve"> of </w:t>
      </w:r>
      <w:r w:rsidR="00466AC1" w:rsidRPr="006448BD">
        <w:t xml:space="preserve">qualitative </w:t>
      </w:r>
      <w:r w:rsidR="00B27FD3" w:rsidRPr="006448BD">
        <w:t>analyses was</w:t>
      </w:r>
      <w:r w:rsidR="00C95674">
        <w:t xml:space="preserve"> on how the</w:t>
      </w:r>
      <w:r w:rsidR="00373542" w:rsidRPr="006448BD">
        <w:t xml:space="preserve"> knowledge</w:t>
      </w:r>
      <w:r w:rsidR="00422F0A" w:rsidRPr="006448BD">
        <w:t xml:space="preserve"> </w:t>
      </w:r>
      <w:r w:rsidR="00C95674">
        <w:t xml:space="preserve">of teaching </w:t>
      </w:r>
      <w:r w:rsidR="00422F0A" w:rsidRPr="006448BD">
        <w:t>w</w:t>
      </w:r>
      <w:r w:rsidR="001E5278" w:rsidRPr="006448BD">
        <w:t>as</w:t>
      </w:r>
      <w:r w:rsidR="00422F0A" w:rsidRPr="006448BD">
        <w:t xml:space="preserve"> constructed</w:t>
      </w:r>
      <w:r w:rsidR="001E5278" w:rsidRPr="006448BD">
        <w:t xml:space="preserve"> differently in those two settings</w:t>
      </w:r>
      <w:r w:rsidR="00422F0A" w:rsidRPr="006448BD">
        <w:t xml:space="preserve">. </w:t>
      </w:r>
      <w:r w:rsidR="00DD76C4" w:rsidRPr="006448BD">
        <w:t>References evidencing</w:t>
      </w:r>
      <w:r w:rsidR="00422F0A" w:rsidRPr="006448BD">
        <w:t xml:space="preserve"> </w:t>
      </w:r>
      <w:r w:rsidR="00ED79D1" w:rsidRPr="006448BD">
        <w:t xml:space="preserve">academician teachers’ knowledge of students, instructional strategies and </w:t>
      </w:r>
      <w:r w:rsidR="00CC45A9">
        <w:t>assessment were</w:t>
      </w:r>
      <w:r w:rsidR="00DD76C4" w:rsidRPr="006448BD">
        <w:t xml:space="preserve"> found to occur more frequently during the Research Meetings compared to Regular Meetings.  A</w:t>
      </w:r>
      <w:r w:rsidR="00422F0A" w:rsidRPr="006448BD">
        <w:t xml:space="preserve">cademicians </w:t>
      </w:r>
      <w:r w:rsidR="00DD76C4" w:rsidRPr="006448BD">
        <w:t xml:space="preserve">discussed more frequently </w:t>
      </w:r>
      <w:r w:rsidR="00422F0A" w:rsidRPr="006448BD">
        <w:t>what qu</w:t>
      </w:r>
      <w:r w:rsidR="00CC45A9">
        <w:t>estions to ask in the classroom and</w:t>
      </w:r>
      <w:r w:rsidR="00422F0A" w:rsidRPr="006448BD">
        <w:t xml:space="preserve"> </w:t>
      </w:r>
      <w:r w:rsidR="00C95674">
        <w:t>exchanged comments about</w:t>
      </w:r>
      <w:r w:rsidR="00422F0A" w:rsidRPr="006448BD">
        <w:t xml:space="preserve"> students’</w:t>
      </w:r>
      <w:r w:rsidR="00373542" w:rsidRPr="006448BD">
        <w:t xml:space="preserve"> </w:t>
      </w:r>
      <w:r w:rsidR="00422F0A" w:rsidRPr="006448BD">
        <w:t>thinking with more evidence.</w:t>
      </w:r>
      <w:r w:rsidRPr="006448BD">
        <w:t xml:space="preserve"> </w:t>
      </w:r>
      <w:r w:rsidR="001E5278" w:rsidRPr="006448BD">
        <w:t>U</w:t>
      </w:r>
      <w:r w:rsidR="005D7E67" w:rsidRPr="006448BD">
        <w:t xml:space="preserve">sing learning theories </w:t>
      </w:r>
      <w:r w:rsidR="00FE3C15" w:rsidRPr="006448BD">
        <w:t xml:space="preserve">and </w:t>
      </w:r>
      <w:r w:rsidR="00422F0A" w:rsidRPr="006448BD">
        <w:t>framing</w:t>
      </w:r>
      <w:r w:rsidR="00FE3C15" w:rsidRPr="006448BD">
        <w:t xml:space="preserve"> planning and reflecti</w:t>
      </w:r>
      <w:r w:rsidR="001E5278" w:rsidRPr="006448BD">
        <w:t>on</w:t>
      </w:r>
      <w:r w:rsidR="00422F0A" w:rsidRPr="006448BD">
        <w:t xml:space="preserve"> dis</w:t>
      </w:r>
      <w:r w:rsidR="005D7E67" w:rsidRPr="006448BD">
        <w:t>cussion</w:t>
      </w:r>
      <w:r w:rsidR="00FE3C15" w:rsidRPr="006448BD">
        <w:t>s</w:t>
      </w:r>
      <w:r w:rsidR="00422F0A" w:rsidRPr="006448BD">
        <w:t xml:space="preserve"> with </w:t>
      </w:r>
      <w:r w:rsidR="00E4353D" w:rsidRPr="006448BD">
        <w:t>a focus</w:t>
      </w:r>
      <w:r w:rsidR="001E5278" w:rsidRPr="006448BD">
        <w:t xml:space="preserve"> on research</w:t>
      </w:r>
      <w:r w:rsidR="00E4353D" w:rsidRPr="006448BD">
        <w:t xml:space="preserve"> </w:t>
      </w:r>
      <w:r w:rsidR="00F658D4" w:rsidRPr="006448BD">
        <w:t xml:space="preserve">appeared </w:t>
      </w:r>
      <w:r w:rsidR="001E5278" w:rsidRPr="006448BD">
        <w:t xml:space="preserve">to be a </w:t>
      </w:r>
      <w:r w:rsidR="00373542" w:rsidRPr="006448BD">
        <w:t xml:space="preserve">productive </w:t>
      </w:r>
      <w:r w:rsidR="001E5278" w:rsidRPr="006448BD">
        <w:t>way of</w:t>
      </w:r>
      <w:r w:rsidR="00373542" w:rsidRPr="006448BD">
        <w:t xml:space="preserve"> nurturing teaching experiences of </w:t>
      </w:r>
      <w:r w:rsidR="00E4353D" w:rsidRPr="006448BD">
        <w:t>academicians as teachers</w:t>
      </w:r>
      <w:r w:rsidR="00373542" w:rsidRPr="006448BD">
        <w:t>.</w:t>
      </w:r>
    </w:p>
    <w:p w14:paraId="337F46F4" w14:textId="7A54C4C8" w:rsidR="00494407" w:rsidRPr="00CE705E" w:rsidRDefault="00373542" w:rsidP="00CC45A9">
      <w:pPr>
        <w:pStyle w:val="ICMEHeading2"/>
      </w:pPr>
      <w:r w:rsidRPr="00CE705E">
        <w:t>INTRODUCTION</w:t>
      </w:r>
      <w:r w:rsidR="00BE25DD" w:rsidRPr="00CE705E">
        <w:t xml:space="preserve"> </w:t>
      </w:r>
    </w:p>
    <w:p w14:paraId="29A62138" w14:textId="21FCBBE6" w:rsidR="00F765A1" w:rsidRPr="00CE705E" w:rsidRDefault="00815BE0" w:rsidP="00CC45A9">
      <w:pPr>
        <w:pStyle w:val="ICMENormal"/>
      </w:pPr>
      <w:r w:rsidRPr="00CE705E">
        <w:t>What teachers should know in order to teach mathematics effectively has been a topic of debate for some time in the teacher education field. Although in the past mathematics content knowledge was considered to be the most important part of knowledge for teachin</w:t>
      </w:r>
      <w:r w:rsidR="00025732">
        <w:t xml:space="preserve">g, </w:t>
      </w:r>
      <w:r w:rsidR="00A96517" w:rsidRPr="00CE705E">
        <w:t>t</w:t>
      </w:r>
      <w:r w:rsidRPr="00CE705E">
        <w:t xml:space="preserve">oday there is a </w:t>
      </w:r>
      <w:r w:rsidRPr="00604FD9">
        <w:t xml:space="preserve">wide </w:t>
      </w:r>
      <w:r w:rsidR="005515A1" w:rsidRPr="00604FD9">
        <w:t>agreement</w:t>
      </w:r>
      <w:r w:rsidRPr="00CE705E">
        <w:t xml:space="preserve"> that teachers should have knowledge and practices related to pedagogical content knowledge (PCK), i.e. both content knowledge and how it is taught. </w:t>
      </w:r>
      <w:r w:rsidR="00C95674">
        <w:t>Accordingly,</w:t>
      </w:r>
      <w:r w:rsidR="001170C3" w:rsidRPr="00CE705E">
        <w:t xml:space="preserve"> recent </w:t>
      </w:r>
      <w:r w:rsidR="00A04180">
        <w:t>recommendations</w:t>
      </w:r>
      <w:bookmarkStart w:id="0" w:name="_GoBack"/>
      <w:bookmarkEnd w:id="0"/>
      <w:r w:rsidR="001170C3" w:rsidRPr="00CE705E">
        <w:t xml:space="preserve"> for beginning teachers </w:t>
      </w:r>
      <w:r w:rsidR="00E747AF" w:rsidRPr="00CE705E">
        <w:t>recommend that</w:t>
      </w:r>
      <w:r w:rsidR="001170C3" w:rsidRPr="00CE705E">
        <w:t xml:space="preserve"> teachers should </w:t>
      </w:r>
      <w:r w:rsidR="00E747AF" w:rsidRPr="00CE705E">
        <w:t>know how students learn a pa</w:t>
      </w:r>
      <w:r w:rsidR="001170C3" w:rsidRPr="00CE705E">
        <w:t>rticular topic and develop pedagogical knowledge specific to teach mathematics</w:t>
      </w:r>
      <w:r w:rsidR="00A04180">
        <w:t>.</w:t>
      </w:r>
    </w:p>
    <w:p w14:paraId="42B70CA5" w14:textId="75EC8925" w:rsidR="00CB07AE" w:rsidRPr="00CE705E" w:rsidRDefault="00CB07AE" w:rsidP="00CC45A9">
      <w:pPr>
        <w:pStyle w:val="ICMENormal"/>
      </w:pPr>
      <w:r w:rsidRPr="00CE705E">
        <w:t>One of the most widely accepted constructs to explain</w:t>
      </w:r>
      <w:r w:rsidR="00C95674">
        <w:t xml:space="preserve"> the</w:t>
      </w:r>
      <w:r w:rsidRPr="00CE705E">
        <w:t xml:space="preserve"> nature of knowledge for teaching, PCK, is </w:t>
      </w:r>
      <w:r w:rsidR="00C95674">
        <w:t>introduced</w:t>
      </w:r>
      <w:r w:rsidRPr="00CE705E">
        <w:t xml:space="preserve"> by Shulman</w:t>
      </w:r>
      <w:r w:rsidR="00A33A0A">
        <w:t xml:space="preserve"> (1986)</w:t>
      </w:r>
      <w:r w:rsidRPr="00CE705E">
        <w:t xml:space="preserve"> </w:t>
      </w:r>
      <w:r w:rsidR="00C95674">
        <w:t>as</w:t>
      </w:r>
      <w:r w:rsidRPr="00CE705E">
        <w:t xml:space="preserve">: “special amalgam of content and pedagogy that is uniquely the province of teachers, their own form of professional understanding” (p. 227). </w:t>
      </w:r>
      <w:r w:rsidR="00E45F29" w:rsidRPr="00CE705E">
        <w:t>According to Shulman, PCK contain</w:t>
      </w:r>
      <w:r w:rsidR="00624B91" w:rsidRPr="00CE705E">
        <w:t xml:space="preserve">ed the most effective examples and explanations </w:t>
      </w:r>
      <w:r w:rsidR="00E45F29" w:rsidRPr="00CE705E">
        <w:t xml:space="preserve">to teach a particular topic. </w:t>
      </w:r>
      <w:r w:rsidR="00C95674">
        <w:t xml:space="preserve">In this vein, </w:t>
      </w:r>
      <w:proofErr w:type="spellStart"/>
      <w:r w:rsidR="000D352C" w:rsidRPr="00CE705E">
        <w:t>Lannin</w:t>
      </w:r>
      <w:proofErr w:type="spellEnd"/>
      <w:r w:rsidR="000D352C" w:rsidRPr="00CE705E">
        <w:t xml:space="preserve"> et al. (2013) conceptualized </w:t>
      </w:r>
      <w:r w:rsidR="00E45F29" w:rsidRPr="00CE705E">
        <w:t xml:space="preserve">PCK </w:t>
      </w:r>
      <w:r w:rsidR="00C95674">
        <w:t>to</w:t>
      </w:r>
      <w:r w:rsidR="00E45F29" w:rsidRPr="00CE705E">
        <w:t xml:space="preserve"> include</w:t>
      </w:r>
      <w:r w:rsidR="00C1783B">
        <w:t xml:space="preserve">: </w:t>
      </w:r>
      <w:r w:rsidR="00C1783B" w:rsidRPr="00C1783B">
        <w:t>Knowledge of student un</w:t>
      </w:r>
      <w:r w:rsidR="00C1783B">
        <w:t xml:space="preserve">derstandings within mathematics, </w:t>
      </w:r>
      <w:r w:rsidR="00C1783B" w:rsidRPr="00C1783B">
        <w:t>Knowledge of instructi</w:t>
      </w:r>
      <w:r w:rsidR="00C1783B">
        <w:t xml:space="preserve">onal strategies for mathematics, </w:t>
      </w:r>
      <w:r w:rsidR="00C1783B" w:rsidRPr="00C1783B">
        <w:t>Knowledg</w:t>
      </w:r>
      <w:r w:rsidR="00C1783B">
        <w:t xml:space="preserve">e of curriculum for mathematics, and </w:t>
      </w:r>
      <w:r w:rsidR="00C1783B" w:rsidRPr="00C1783B">
        <w:t>Knowledg</w:t>
      </w:r>
      <w:r w:rsidR="00C1783B">
        <w:t xml:space="preserve">e of assessment for mathematics. </w:t>
      </w:r>
      <w:r w:rsidR="00E45F29" w:rsidRPr="00CE705E">
        <w:t xml:space="preserve">In </w:t>
      </w:r>
      <w:r w:rsidR="00236C5E">
        <w:t>this</w:t>
      </w:r>
      <w:r w:rsidR="00E45F29" w:rsidRPr="00CE705E">
        <w:t xml:space="preserve"> adaptation of PCK, researchers</w:t>
      </w:r>
      <w:r w:rsidR="00702869" w:rsidRPr="00CE705E">
        <w:t xml:space="preserve"> viewed</w:t>
      </w:r>
      <w:r w:rsidR="00E45F29" w:rsidRPr="00CE705E">
        <w:t xml:space="preserve"> “PCK as knowledge for mathematics teaching that may or may not involve strong connections to the </w:t>
      </w:r>
      <w:r w:rsidR="00097003" w:rsidRPr="00CE705E">
        <w:t>actual teaching and learning of mathematics</w:t>
      </w:r>
      <w:r w:rsidR="00702869" w:rsidRPr="00CE705E">
        <w:t>.</w:t>
      </w:r>
      <w:r w:rsidR="00E45F29" w:rsidRPr="00CE705E">
        <w:t>”</w:t>
      </w:r>
      <w:r w:rsidR="00097003" w:rsidRPr="00CE705E">
        <w:t xml:space="preserve"> (</w:t>
      </w:r>
      <w:proofErr w:type="spellStart"/>
      <w:r w:rsidR="00097003" w:rsidRPr="00CE705E">
        <w:t>Lannin</w:t>
      </w:r>
      <w:proofErr w:type="spellEnd"/>
      <w:r w:rsidR="00097003" w:rsidRPr="00CE705E">
        <w:t xml:space="preserve"> et al.</w:t>
      </w:r>
      <w:r w:rsidR="00624B91" w:rsidRPr="00CE705E">
        <w:t xml:space="preserve"> 2013;</w:t>
      </w:r>
      <w:r w:rsidR="00097003" w:rsidRPr="00CE705E">
        <w:t xml:space="preserve"> p. </w:t>
      </w:r>
      <w:r w:rsidR="000217DE">
        <w:t>406)</w:t>
      </w:r>
      <w:r w:rsidR="00097003" w:rsidRPr="00CE705E">
        <w:t xml:space="preserve"> </w:t>
      </w:r>
      <w:r w:rsidR="00702869" w:rsidRPr="00CE705E">
        <w:t>In this study we frame</w:t>
      </w:r>
      <w:r w:rsidR="00C95674">
        <w:t>d</w:t>
      </w:r>
      <w:r w:rsidR="00702869" w:rsidRPr="00CE705E">
        <w:t xml:space="preserve"> PCK a</w:t>
      </w:r>
      <w:r w:rsidR="00097003" w:rsidRPr="00CE705E">
        <w:t>ccording to this</w:t>
      </w:r>
      <w:r w:rsidR="00702869" w:rsidRPr="00CE705E">
        <w:t xml:space="preserve"> recent</w:t>
      </w:r>
      <w:r w:rsidR="00097003" w:rsidRPr="00CE705E">
        <w:t xml:space="preserve"> </w:t>
      </w:r>
      <w:r w:rsidR="00702869" w:rsidRPr="00CE705E">
        <w:t>perspective, where</w:t>
      </w:r>
      <w:r w:rsidR="00097003" w:rsidRPr="00CE705E">
        <w:t xml:space="preserve"> personal justifications o</w:t>
      </w:r>
      <w:r w:rsidR="00676DC6">
        <w:t>r</w:t>
      </w:r>
      <w:r w:rsidR="00097003" w:rsidRPr="00CE705E">
        <w:t xml:space="preserve"> beliefs of teachers are also considered as part of their PCK. </w:t>
      </w:r>
    </w:p>
    <w:p w14:paraId="45FDB965" w14:textId="5AE18B97" w:rsidR="00D37D40" w:rsidRPr="00CE705E" w:rsidRDefault="001929F0" w:rsidP="00CC45A9">
      <w:pPr>
        <w:pStyle w:val="ICMENormal"/>
      </w:pPr>
      <w:r w:rsidRPr="00CE705E">
        <w:t xml:space="preserve">Although development </w:t>
      </w:r>
      <w:r w:rsidR="00C95674">
        <w:t xml:space="preserve">of </w:t>
      </w:r>
      <w:r w:rsidRPr="00CE705E">
        <w:t>teachers</w:t>
      </w:r>
      <w:r w:rsidR="00C95674">
        <w:t>’ PCK</w:t>
      </w:r>
      <w:r w:rsidRPr="00CE705E">
        <w:t xml:space="preserve"> has been relatively well explored</w:t>
      </w:r>
      <w:r w:rsidR="00862D13" w:rsidRPr="00CE705E">
        <w:t xml:space="preserve"> (</w:t>
      </w:r>
      <w:proofErr w:type="spellStart"/>
      <w:r w:rsidR="00F97A3D">
        <w:rPr>
          <w:lang w:val="de-DE"/>
        </w:rPr>
        <w:t>Depaepe</w:t>
      </w:r>
      <w:proofErr w:type="spellEnd"/>
      <w:r w:rsidR="00F97A3D">
        <w:rPr>
          <w:lang w:val="de-DE"/>
        </w:rPr>
        <w:t xml:space="preserve">, </w:t>
      </w:r>
      <w:proofErr w:type="spellStart"/>
      <w:r w:rsidR="00F97A3D">
        <w:rPr>
          <w:lang w:val="de-DE"/>
        </w:rPr>
        <w:t>Verschaffel</w:t>
      </w:r>
      <w:proofErr w:type="spellEnd"/>
      <w:r w:rsidR="00F97A3D">
        <w:rPr>
          <w:lang w:val="de-DE"/>
        </w:rPr>
        <w:t xml:space="preserve">, &amp; </w:t>
      </w:r>
      <w:proofErr w:type="spellStart"/>
      <w:r w:rsidR="00F97A3D">
        <w:rPr>
          <w:lang w:val="de-DE"/>
        </w:rPr>
        <w:t>Kelchtermans</w:t>
      </w:r>
      <w:proofErr w:type="spellEnd"/>
      <w:r w:rsidR="00F97A3D">
        <w:rPr>
          <w:lang w:val="de-DE"/>
        </w:rPr>
        <w:t xml:space="preserve">, </w:t>
      </w:r>
      <w:r w:rsidR="00676DC6">
        <w:rPr>
          <w:lang w:val="de-DE"/>
        </w:rPr>
        <w:t xml:space="preserve">2013), </w:t>
      </w:r>
      <w:proofErr w:type="spellStart"/>
      <w:r w:rsidR="00C95674">
        <w:rPr>
          <w:lang w:val="de-DE"/>
        </w:rPr>
        <w:t>research</w:t>
      </w:r>
      <w:proofErr w:type="spellEnd"/>
      <w:r w:rsidR="00C95674">
        <w:rPr>
          <w:lang w:val="de-DE"/>
        </w:rPr>
        <w:t xml:space="preserve"> on </w:t>
      </w:r>
      <w:proofErr w:type="spellStart"/>
      <w:r w:rsidR="00C95674">
        <w:rPr>
          <w:lang w:val="de-DE"/>
        </w:rPr>
        <w:t>the</w:t>
      </w:r>
      <w:proofErr w:type="spellEnd"/>
      <w:r w:rsidR="00C95674">
        <w:rPr>
          <w:lang w:val="de-DE"/>
        </w:rPr>
        <w:t xml:space="preserve"> </w:t>
      </w:r>
      <w:proofErr w:type="spellStart"/>
      <w:r w:rsidR="00C95674">
        <w:rPr>
          <w:lang w:val="de-DE"/>
        </w:rPr>
        <w:t>development</w:t>
      </w:r>
      <w:proofErr w:type="spellEnd"/>
      <w:r w:rsidR="00C95674">
        <w:rPr>
          <w:lang w:val="de-DE"/>
        </w:rPr>
        <w:t xml:space="preserve"> </w:t>
      </w:r>
      <w:proofErr w:type="spellStart"/>
      <w:r w:rsidR="00C95674">
        <w:rPr>
          <w:lang w:val="de-DE"/>
        </w:rPr>
        <w:t>of</w:t>
      </w:r>
      <w:proofErr w:type="spellEnd"/>
      <w:r w:rsidR="00C95674">
        <w:rPr>
          <w:lang w:val="de-DE"/>
        </w:rPr>
        <w:t xml:space="preserve"> </w:t>
      </w:r>
      <w:proofErr w:type="spellStart"/>
      <w:r w:rsidR="00C95674">
        <w:rPr>
          <w:lang w:val="de-DE"/>
        </w:rPr>
        <w:t>teacher</w:t>
      </w:r>
      <w:proofErr w:type="spellEnd"/>
      <w:r w:rsidR="00C95674">
        <w:rPr>
          <w:lang w:val="de-DE"/>
        </w:rPr>
        <w:t xml:space="preserve"> </w:t>
      </w:r>
      <w:proofErr w:type="spellStart"/>
      <w:r w:rsidR="00C95674">
        <w:rPr>
          <w:lang w:val="de-DE"/>
        </w:rPr>
        <w:t>educators</w:t>
      </w:r>
      <w:proofErr w:type="spellEnd"/>
      <w:r w:rsidR="00C95674">
        <w:rPr>
          <w:lang w:val="de-DE"/>
        </w:rPr>
        <w:t xml:space="preserve">’ </w:t>
      </w:r>
      <w:r w:rsidR="00C95674" w:rsidRPr="00CE705E">
        <w:t xml:space="preserve">PCK of </w:t>
      </w:r>
      <w:r w:rsidR="00C95674">
        <w:t xml:space="preserve">mathematics </w:t>
      </w:r>
      <w:r w:rsidR="00C95674" w:rsidRPr="00CE705E">
        <w:t xml:space="preserve">teacher educators </w:t>
      </w:r>
      <w:r w:rsidR="00C95674">
        <w:t>is scarce</w:t>
      </w:r>
      <w:r w:rsidRPr="00CE705E">
        <w:t xml:space="preserve">. </w:t>
      </w:r>
      <w:r w:rsidR="00435F96" w:rsidRPr="00CE705E">
        <w:t>In gener</w:t>
      </w:r>
      <w:r w:rsidR="00A01097" w:rsidRPr="00CE705E">
        <w:t xml:space="preserve">al, </w:t>
      </w:r>
      <w:r w:rsidR="00C95674">
        <w:t>it is widely acknowledged</w:t>
      </w:r>
      <w:r w:rsidR="00435F96" w:rsidRPr="00CE705E">
        <w:t xml:space="preserve"> that </w:t>
      </w:r>
      <w:r w:rsidR="0007066E" w:rsidRPr="00CE705E">
        <w:t xml:space="preserve">teacher educators </w:t>
      </w:r>
      <w:r w:rsidR="00C95674">
        <w:t xml:space="preserve">should </w:t>
      </w:r>
      <w:r w:rsidR="0007066E" w:rsidRPr="00CE705E">
        <w:t xml:space="preserve">have K-12 teaching experience before they pursue doctoral degrees. In </w:t>
      </w:r>
      <w:r w:rsidR="00D37D40" w:rsidRPr="00CE705E">
        <w:t xml:space="preserve">contrast, </w:t>
      </w:r>
      <w:r w:rsidR="00C95674">
        <w:t>majority of</w:t>
      </w:r>
      <w:r w:rsidR="009A0A75">
        <w:t xml:space="preserve"> Turkish</w:t>
      </w:r>
      <w:r w:rsidR="0007066E" w:rsidRPr="00CE705E">
        <w:t xml:space="preserve"> teacher educators do not have K-12 teaching experience. </w:t>
      </w:r>
      <w:r w:rsidR="00435F96" w:rsidRPr="00CE705E">
        <w:t xml:space="preserve">Especially in this context </w:t>
      </w:r>
      <w:r w:rsidRPr="00CE705E">
        <w:t>where</w:t>
      </w:r>
      <w:r w:rsidR="00F40AC7" w:rsidRPr="00CE705E">
        <w:t xml:space="preserve"> there is a </w:t>
      </w:r>
      <w:r w:rsidRPr="00CE705E">
        <w:lastRenderedPageBreak/>
        <w:t xml:space="preserve">large </w:t>
      </w:r>
      <w:r w:rsidR="00F40AC7" w:rsidRPr="00CE705E">
        <w:t>gap between teacher education practices and school expe</w:t>
      </w:r>
      <w:r w:rsidR="005515A1">
        <w:t>riences (</w:t>
      </w:r>
      <w:proofErr w:type="spellStart"/>
      <w:r w:rsidR="005515A1">
        <w:t>Çakıroğ</w:t>
      </w:r>
      <w:r w:rsidR="00F40AC7" w:rsidRPr="00CE705E">
        <w:t>lu</w:t>
      </w:r>
      <w:proofErr w:type="spellEnd"/>
      <w:r w:rsidR="00F40AC7" w:rsidRPr="00CE705E">
        <w:t xml:space="preserve"> &amp; </w:t>
      </w:r>
      <w:proofErr w:type="spellStart"/>
      <w:r w:rsidR="005515A1">
        <w:t>Çakıroğ</w:t>
      </w:r>
      <w:r w:rsidR="005515A1" w:rsidRPr="00CE705E">
        <w:t>lu</w:t>
      </w:r>
      <w:proofErr w:type="spellEnd"/>
      <w:r w:rsidR="00F40AC7" w:rsidRPr="00CE705E">
        <w:t>, 2009</w:t>
      </w:r>
      <w:r w:rsidR="005515A1">
        <w:t xml:space="preserve">; </w:t>
      </w:r>
      <w:r w:rsidR="00676DC6">
        <w:t>Author</w:t>
      </w:r>
      <w:r w:rsidRPr="00CE705E">
        <w:t>, 2013</w:t>
      </w:r>
      <w:r w:rsidR="00F40AC7" w:rsidRPr="00CE705E">
        <w:t>)</w:t>
      </w:r>
      <w:r w:rsidRPr="00CE705E">
        <w:t>, there is a need to know how teacher</w:t>
      </w:r>
      <w:r w:rsidR="00435F96" w:rsidRPr="00CE705E">
        <w:t xml:space="preserve"> educators themselves construct PCK, </w:t>
      </w:r>
      <w:r w:rsidR="00C95674">
        <w:t>would</w:t>
      </w:r>
      <w:r w:rsidRPr="00CE705E">
        <w:t xml:space="preserve"> help them design be</w:t>
      </w:r>
      <w:r w:rsidR="009A0A75">
        <w:t>tter learning experiences for pre-service teachers</w:t>
      </w:r>
      <w:r w:rsidRPr="00CE705E">
        <w:t xml:space="preserve">. </w:t>
      </w:r>
      <w:r w:rsidR="00D37D40" w:rsidRPr="00CE705E">
        <w:t>This p</w:t>
      </w:r>
      <w:r w:rsidR="00C95674">
        <w:t>roposal</w:t>
      </w:r>
      <w:r w:rsidR="00D37D40" w:rsidRPr="00CE705E">
        <w:t xml:space="preserve"> is part of a larger project,</w:t>
      </w:r>
      <w:r w:rsidR="002919CF" w:rsidRPr="00CE705E">
        <w:t xml:space="preserve"> </w:t>
      </w:r>
      <w:r w:rsidR="002919CF" w:rsidRPr="00C95674">
        <w:rPr>
          <w:i/>
        </w:rPr>
        <w:t>University within School</w:t>
      </w:r>
      <w:r w:rsidR="002919CF" w:rsidRPr="00CE705E">
        <w:t xml:space="preserve"> (</w:t>
      </w:r>
      <w:r w:rsidR="00676DC6">
        <w:t>Author</w:t>
      </w:r>
      <w:r w:rsidR="002919CF" w:rsidRPr="00CE705E">
        <w:t xml:space="preserve">, 2013), </w:t>
      </w:r>
      <w:r w:rsidR="00D37D40" w:rsidRPr="00CE705E">
        <w:t xml:space="preserve">which aimed to </w:t>
      </w:r>
      <w:r w:rsidR="002919CF" w:rsidRPr="00CE705E">
        <w:t>improve teacher education and student learning by closing the gap between teacher education practices and school experience in Turkey</w:t>
      </w:r>
      <w:r w:rsidR="00D37D40" w:rsidRPr="00CE705E">
        <w:t>.</w:t>
      </w:r>
      <w:r w:rsidR="002919CF" w:rsidRPr="00CE705E">
        <w:t xml:space="preserve"> </w:t>
      </w:r>
      <w:r w:rsidR="00035C8C">
        <w:t>Project also a</w:t>
      </w:r>
      <w:r w:rsidR="00C95674">
        <w:t xml:space="preserve">ims the professional development of teacher educators by </w:t>
      </w:r>
      <w:r w:rsidR="00035C8C">
        <w:t xml:space="preserve">regularly </w:t>
      </w:r>
      <w:r w:rsidR="00C95674">
        <w:t xml:space="preserve">renewing </w:t>
      </w:r>
      <w:r w:rsidR="00035C8C">
        <w:t xml:space="preserve">their </w:t>
      </w:r>
      <w:r w:rsidR="00C95674">
        <w:t xml:space="preserve">teaching experiences in K-12 schools. </w:t>
      </w:r>
      <w:r w:rsidR="002919CF" w:rsidRPr="00CE705E">
        <w:t>In the context of this project,</w:t>
      </w:r>
      <w:r w:rsidR="00D37D40" w:rsidRPr="00CE705E">
        <w:t xml:space="preserve"> academician</w:t>
      </w:r>
      <w:r w:rsidR="00324D32" w:rsidRPr="00CE705E">
        <w:t>s acted as</w:t>
      </w:r>
      <w:r w:rsidR="002919CF" w:rsidRPr="00CE705E">
        <w:t xml:space="preserve"> 5</w:t>
      </w:r>
      <w:r w:rsidR="002919CF" w:rsidRPr="00CE705E">
        <w:rPr>
          <w:vertAlign w:val="superscript"/>
        </w:rPr>
        <w:t>th</w:t>
      </w:r>
      <w:r w:rsidR="002919CF" w:rsidRPr="00CE705E">
        <w:t xml:space="preserve"> grade mathematics</w:t>
      </w:r>
      <w:r w:rsidR="00324D32" w:rsidRPr="00CE705E">
        <w:t xml:space="preserve"> teachers in a</w:t>
      </w:r>
      <w:r w:rsidR="002919CF" w:rsidRPr="00CE705E">
        <w:t xml:space="preserve"> public</w:t>
      </w:r>
      <w:r w:rsidR="00324D32" w:rsidRPr="00CE705E">
        <w:t xml:space="preserve"> school</w:t>
      </w:r>
      <w:r w:rsidR="002919CF" w:rsidRPr="00CE705E">
        <w:t xml:space="preserve">, </w:t>
      </w:r>
      <w:r w:rsidR="00AB237C" w:rsidRPr="00CE705E">
        <w:t>which collaborated with the Faculty of Education</w:t>
      </w:r>
      <w:r w:rsidR="00324D32" w:rsidRPr="00CE705E">
        <w:t>. This one year long experience constituted</w:t>
      </w:r>
      <w:r w:rsidR="00AB237C" w:rsidRPr="00CE705E">
        <w:t xml:space="preserve"> a</w:t>
      </w:r>
      <w:r w:rsidR="00A01097" w:rsidRPr="00CE705E">
        <w:t>s</w:t>
      </w:r>
      <w:r w:rsidR="00324D32" w:rsidRPr="00CE705E">
        <w:t xml:space="preserve"> </w:t>
      </w:r>
      <w:r w:rsidR="00A01097" w:rsidRPr="00CE705E">
        <w:t>a valuable</w:t>
      </w:r>
      <w:r w:rsidR="00D37D40" w:rsidRPr="00CE705E">
        <w:t xml:space="preserve"> professional development</w:t>
      </w:r>
      <w:r w:rsidR="00324D32" w:rsidRPr="00CE705E">
        <w:t xml:space="preserve"> experience for the teacher educators involved in the project</w:t>
      </w:r>
      <w:r w:rsidR="00D37D40" w:rsidRPr="00CE705E">
        <w:t xml:space="preserve"> and </w:t>
      </w:r>
      <w:r w:rsidR="00AB237C" w:rsidRPr="00CE705E">
        <w:t>positively impacted</w:t>
      </w:r>
      <w:r w:rsidR="0004708E" w:rsidRPr="00CE705E">
        <w:t xml:space="preserve"> </w:t>
      </w:r>
      <w:r w:rsidR="00AB237C" w:rsidRPr="00CE705E">
        <w:t>students’ mathematics achievement in an otherwise disadvantaged school located in a low</w:t>
      </w:r>
      <w:r w:rsidR="00DD54F1" w:rsidRPr="00CE705E">
        <w:t>-</w:t>
      </w:r>
      <w:r w:rsidR="0004708E" w:rsidRPr="00CE705E">
        <w:t>level</w:t>
      </w:r>
      <w:r w:rsidR="00AB237C" w:rsidRPr="00CE705E">
        <w:t xml:space="preserve"> </w:t>
      </w:r>
      <w:r w:rsidR="00DD54F1" w:rsidRPr="00CE705E">
        <w:t>socio-</w:t>
      </w:r>
      <w:r w:rsidR="0004708E" w:rsidRPr="00CE705E">
        <w:t xml:space="preserve">economic </w:t>
      </w:r>
      <w:r w:rsidR="00AB237C" w:rsidRPr="00CE705E">
        <w:t xml:space="preserve">neighborhood (Authors, </w:t>
      </w:r>
      <w:r w:rsidR="00035C8C">
        <w:t>submitted</w:t>
      </w:r>
      <w:r w:rsidR="00AB237C" w:rsidRPr="00CE705E">
        <w:t xml:space="preserve">). </w:t>
      </w:r>
    </w:p>
    <w:p w14:paraId="331042F9" w14:textId="6F655F38" w:rsidR="00EA5591" w:rsidRPr="00CE705E" w:rsidRDefault="008A0EEB" w:rsidP="00CC45A9">
      <w:pPr>
        <w:pStyle w:val="ICMENormal"/>
      </w:pPr>
      <w:r w:rsidRPr="00CE705E">
        <w:t xml:space="preserve">The research team </w:t>
      </w:r>
      <w:r w:rsidR="00EA5591" w:rsidRPr="00CE705E">
        <w:t>investigate</w:t>
      </w:r>
      <w:r w:rsidR="003B74D6" w:rsidRPr="00CE705E">
        <w:t>d</w:t>
      </w:r>
      <w:r w:rsidR="00EA5591" w:rsidRPr="00CE705E">
        <w:t xml:space="preserve"> how academicians as teachers constructed </w:t>
      </w:r>
      <w:r w:rsidR="00E90040" w:rsidRPr="00CE705E">
        <w:t>different domains of PCK</w:t>
      </w:r>
      <w:r w:rsidRPr="00CE705E">
        <w:t xml:space="preserve"> by adopting </w:t>
      </w:r>
      <w:proofErr w:type="spellStart"/>
      <w:r w:rsidRPr="00CE705E">
        <w:t>Lannin</w:t>
      </w:r>
      <w:proofErr w:type="spellEnd"/>
      <w:r w:rsidRPr="00CE705E">
        <w:t xml:space="preserve"> et al. (2013)’s conceptualization </w:t>
      </w:r>
      <w:r w:rsidR="00E90040" w:rsidRPr="00CE705E">
        <w:t>as they</w:t>
      </w:r>
      <w:r w:rsidR="00EA5591" w:rsidRPr="00CE705E">
        <w:t xml:space="preserve"> planned and debriefed lessons </w:t>
      </w:r>
      <w:r w:rsidR="00035C8C">
        <w:t>during the one-year implementation of the project</w:t>
      </w:r>
      <w:r w:rsidR="008B4C55" w:rsidRPr="00CE705E">
        <w:t xml:space="preserve">. </w:t>
      </w:r>
      <w:r w:rsidR="007F0B45">
        <w:t>T</w:t>
      </w:r>
      <w:r w:rsidR="008B4C55" w:rsidRPr="00CE705E">
        <w:t xml:space="preserve">his paper is </w:t>
      </w:r>
      <w:r w:rsidRPr="00CE705E">
        <w:t xml:space="preserve">specifically </w:t>
      </w:r>
      <w:r w:rsidR="008B4C55" w:rsidRPr="00CE705E">
        <w:t>focused on</w:t>
      </w:r>
      <w:r w:rsidR="000A2676" w:rsidRPr="00CE705E">
        <w:t xml:space="preserve"> exploring differences in</w:t>
      </w:r>
      <w:r w:rsidR="008205E9" w:rsidRPr="00CE705E">
        <w:t xml:space="preserve"> the</w:t>
      </w:r>
      <w:r w:rsidR="000A2676" w:rsidRPr="00CE705E">
        <w:t xml:space="preserve"> development of PCK </w:t>
      </w:r>
      <w:r w:rsidR="008B4C55" w:rsidRPr="00CE705E">
        <w:t xml:space="preserve">when the research team </w:t>
      </w:r>
      <w:r w:rsidR="007F0B45">
        <w:t>focused on a research agenda</w:t>
      </w:r>
      <w:r w:rsidR="008B4C55" w:rsidRPr="00CE705E">
        <w:t xml:space="preserve"> </w:t>
      </w:r>
      <w:r w:rsidRPr="00CE705E">
        <w:t xml:space="preserve">in the meetings </w:t>
      </w:r>
      <w:r w:rsidR="008B4C55" w:rsidRPr="00CE705E">
        <w:t>v</w:t>
      </w:r>
      <w:r w:rsidR="00215211" w:rsidRPr="00CE705E">
        <w:t>ersus</w:t>
      </w:r>
      <w:r w:rsidR="008B4C55" w:rsidRPr="00CE705E">
        <w:t xml:space="preserve"> </w:t>
      </w:r>
      <w:r w:rsidRPr="00CE705E">
        <w:t>not</w:t>
      </w:r>
      <w:r w:rsidR="00035C8C">
        <w:t xml:space="preserve"> focusing on a research agenda</w:t>
      </w:r>
      <w:r w:rsidR="008205E9" w:rsidRPr="00CE705E">
        <w:t xml:space="preserve">. </w:t>
      </w:r>
    </w:p>
    <w:p w14:paraId="29327DE5" w14:textId="4BCDB2B9" w:rsidR="002F09CD" w:rsidRPr="00CE705E" w:rsidRDefault="002F09CD" w:rsidP="00CC45A9">
      <w:pPr>
        <w:pStyle w:val="ICMEHeading2"/>
        <w:rPr>
          <w:lang w:val="en-US"/>
        </w:rPr>
      </w:pPr>
      <w:r w:rsidRPr="00CE705E">
        <w:rPr>
          <w:lang w:val="en-US"/>
        </w:rPr>
        <w:t>METHODS</w:t>
      </w:r>
    </w:p>
    <w:p w14:paraId="253F0088" w14:textId="7B1E572A" w:rsidR="00AE0325" w:rsidRPr="00CE705E" w:rsidRDefault="002F09CD" w:rsidP="00CC45A9">
      <w:pPr>
        <w:pStyle w:val="ICMEHeading3"/>
      </w:pPr>
      <w:r w:rsidRPr="00CE705E">
        <w:t>Participants and Data Collection</w:t>
      </w:r>
    </w:p>
    <w:p w14:paraId="4F8FAD48" w14:textId="110DC202" w:rsidR="000529DC" w:rsidRPr="00CE705E" w:rsidRDefault="00D25D61" w:rsidP="00CC45A9">
      <w:pPr>
        <w:pStyle w:val="ICMENormal"/>
      </w:pPr>
      <w:r w:rsidRPr="00CE705E">
        <w:t>Four</w:t>
      </w:r>
      <w:r w:rsidR="008A31C1" w:rsidRPr="00CE705E">
        <w:t xml:space="preserve"> academicians acted as both teachers and researcher</w:t>
      </w:r>
      <w:r w:rsidR="000513E9">
        <w:t>s during a</w:t>
      </w:r>
      <w:r w:rsidR="008A31C1" w:rsidRPr="00CE705E">
        <w:t>-year</w:t>
      </w:r>
      <w:r w:rsidR="000513E9">
        <w:t>-long</w:t>
      </w:r>
      <w:r w:rsidR="009A0A75">
        <w:t xml:space="preserve"> </w:t>
      </w:r>
      <w:r w:rsidR="009A0A75" w:rsidRPr="00CE705E">
        <w:t>5</w:t>
      </w:r>
      <w:r w:rsidR="009A0A75" w:rsidRPr="00CE705E">
        <w:rPr>
          <w:vertAlign w:val="superscript"/>
        </w:rPr>
        <w:t>th</w:t>
      </w:r>
      <w:r w:rsidR="009A0A75" w:rsidRPr="00CE705E">
        <w:t xml:space="preserve"> grade mathematics</w:t>
      </w:r>
      <w:r w:rsidR="009A0A75">
        <w:t xml:space="preserve"> teaching experience</w:t>
      </w:r>
      <w:r w:rsidR="008A31C1" w:rsidRPr="00CE705E">
        <w:t>. While academicians had different teaching experiences previously, teaching 5</w:t>
      </w:r>
      <w:r w:rsidR="008A31C1" w:rsidRPr="00CE705E">
        <w:rPr>
          <w:vertAlign w:val="superscript"/>
        </w:rPr>
        <w:t>th</w:t>
      </w:r>
      <w:r w:rsidR="008A31C1" w:rsidRPr="00CE705E">
        <w:t xml:space="preserve"> grade mathematics was </w:t>
      </w:r>
      <w:r w:rsidR="00676DC6">
        <w:t>a novel experience</w:t>
      </w:r>
      <w:r w:rsidR="008A31C1" w:rsidRPr="00CE705E">
        <w:t xml:space="preserve"> for all of them.</w:t>
      </w:r>
      <w:r w:rsidR="008A31C1" w:rsidRPr="00CE705E">
        <w:rPr>
          <w:b/>
        </w:rPr>
        <w:t xml:space="preserve"> </w:t>
      </w:r>
      <w:r w:rsidR="002F09CD" w:rsidRPr="00CE705E">
        <w:rPr>
          <w:iCs/>
          <w14:numSpacing w14:val="proportional"/>
        </w:rPr>
        <w:t>As a group, academicians</w:t>
      </w:r>
      <w:r w:rsidR="00725A02" w:rsidRPr="00CE705E">
        <w:rPr>
          <w:iCs/>
          <w14:numSpacing w14:val="proportional"/>
        </w:rPr>
        <w:t xml:space="preserve"> </w:t>
      </w:r>
      <w:r w:rsidR="002F09CD" w:rsidRPr="00CE705E">
        <w:t>attended planning and reflection sessions every week during</w:t>
      </w:r>
      <w:r w:rsidR="00676DC6">
        <w:t xml:space="preserve"> the</w:t>
      </w:r>
      <w:r w:rsidR="002F09CD" w:rsidRPr="00CE705E">
        <w:t xml:space="preserve"> 2014</w:t>
      </w:r>
      <w:r w:rsidR="008A40A6" w:rsidRPr="00CE705E">
        <w:t>-2015 academic year. There were</w:t>
      </w:r>
      <w:r w:rsidR="002F09CD" w:rsidRPr="00CE705E">
        <w:t xml:space="preserve"> 40 sessions in total and sessions usually lasted 2 hours. All of the sessions were videotaped and transcribed for analysis.</w:t>
      </w:r>
      <w:r w:rsidR="00EA5591" w:rsidRPr="00CE705E">
        <w:t xml:space="preserve"> </w:t>
      </w:r>
      <w:r w:rsidR="00D86502" w:rsidRPr="00CE705E">
        <w:t xml:space="preserve">In each session, </w:t>
      </w:r>
      <w:r w:rsidR="002F09CD" w:rsidRPr="00CE705E">
        <w:t>the group discussed how</w:t>
      </w:r>
      <w:r w:rsidR="005A6D79" w:rsidRPr="00CE705E">
        <w:t xml:space="preserve"> to plan future lessons for 5</w:t>
      </w:r>
      <w:r w:rsidR="005A6D79" w:rsidRPr="00CE705E">
        <w:rPr>
          <w:vertAlign w:val="superscript"/>
        </w:rPr>
        <w:t>th</w:t>
      </w:r>
      <w:r w:rsidR="005A6D79" w:rsidRPr="00CE705E">
        <w:t xml:space="preserve"> grade and reflect on the past lessons.</w:t>
      </w:r>
      <w:r w:rsidR="00814AAA" w:rsidRPr="00CE705E">
        <w:t xml:space="preserve"> The sessions included discussions about best instructional moves (</w:t>
      </w:r>
      <w:r w:rsidR="00024BC1">
        <w:t xml:space="preserve">i.e., </w:t>
      </w:r>
      <w:r w:rsidR="00814AAA" w:rsidRPr="00CE705E">
        <w:t xml:space="preserve">flow of the lesson, examples, explanations, questions, and anticipating student responses etc.) and </w:t>
      </w:r>
      <w:r w:rsidR="00AF55C2" w:rsidRPr="00CE705E">
        <w:t>reflections after implementing such instructional moves.</w:t>
      </w:r>
      <w:r w:rsidR="000513E9">
        <w:t xml:space="preserve"> </w:t>
      </w:r>
      <w:r w:rsidR="000529DC" w:rsidRPr="00CE705E">
        <w:t xml:space="preserve">In this sense, meetings could be considered as an adaptation of Lesson Study </w:t>
      </w:r>
      <w:r w:rsidR="00024BC1">
        <w:t xml:space="preserve">design </w:t>
      </w:r>
      <w:r w:rsidR="000529DC" w:rsidRPr="00CE705E">
        <w:t>(</w:t>
      </w:r>
      <w:r w:rsidR="009E723B">
        <w:t xml:space="preserve">Lewis, Perry, &amp; </w:t>
      </w:r>
      <w:proofErr w:type="spellStart"/>
      <w:r w:rsidR="009E723B">
        <w:t>Hurd</w:t>
      </w:r>
      <w:proofErr w:type="spellEnd"/>
      <w:r w:rsidR="009E723B">
        <w:t>, 2004</w:t>
      </w:r>
      <w:r w:rsidR="00024BC1">
        <w:t>)</w:t>
      </w:r>
      <w:r w:rsidR="000529DC" w:rsidRPr="00CE705E">
        <w:t xml:space="preserve">. </w:t>
      </w:r>
      <w:r w:rsidR="00024BC1" w:rsidRPr="00CE705E">
        <w:t xml:space="preserve">Throughout the data collection process, the research team also conducted research on how students </w:t>
      </w:r>
      <w:r w:rsidR="00024BC1">
        <w:t xml:space="preserve">progressed </w:t>
      </w:r>
      <w:r w:rsidR="00024BC1" w:rsidRPr="00CE705E">
        <w:t xml:space="preserve">within the project </w:t>
      </w:r>
      <w:r w:rsidR="00024BC1">
        <w:t>with a particular focus</w:t>
      </w:r>
      <w:r w:rsidR="00024BC1" w:rsidRPr="00CE705E">
        <w:t xml:space="preserve"> on the topic of fractions, which is known to be difficult for students </w:t>
      </w:r>
      <w:r w:rsidR="00CD4CB0" w:rsidRPr="00CE705E">
        <w:t>(</w:t>
      </w:r>
      <w:r w:rsidR="0088375C" w:rsidRPr="00CE705E">
        <w:t>Author,</w:t>
      </w:r>
      <w:r w:rsidR="00CD4CB0" w:rsidRPr="00CE705E">
        <w:t xml:space="preserve"> 2015). </w:t>
      </w:r>
    </w:p>
    <w:p w14:paraId="71CAE9F5" w14:textId="76B8FF6C" w:rsidR="00FE3B21" w:rsidRPr="00CE705E" w:rsidRDefault="00024BC1" w:rsidP="00CC45A9">
      <w:pPr>
        <w:pStyle w:val="ICMENormal"/>
      </w:pPr>
      <w:r w:rsidRPr="00CE705E">
        <w:t xml:space="preserve">It is </w:t>
      </w:r>
      <w:r>
        <w:t>noteworthy that we</w:t>
      </w:r>
      <w:r w:rsidRPr="00CE705E">
        <w:t xml:space="preserve"> differentiate</w:t>
      </w:r>
      <w:r>
        <w:t>d</w:t>
      </w:r>
      <w:r w:rsidRPr="00CE705E">
        <w:t xml:space="preserve"> </w:t>
      </w:r>
      <w:r w:rsidR="00927BDB" w:rsidRPr="00CE705E">
        <w:t>two types of lesson study meetings</w:t>
      </w:r>
      <w:r w:rsidR="00F8684B" w:rsidRPr="00CE705E">
        <w:t>: Regular M</w:t>
      </w:r>
      <w:r w:rsidR="00927BDB" w:rsidRPr="00CE705E">
        <w:t>eetings</w:t>
      </w:r>
      <w:r>
        <w:t xml:space="preserve"> (n = 6)</w:t>
      </w:r>
      <w:r w:rsidR="00927BDB" w:rsidRPr="00CE705E">
        <w:t xml:space="preserve"> and Fraction </w:t>
      </w:r>
      <w:r w:rsidR="00F8684B" w:rsidRPr="00CE705E">
        <w:t>Research</w:t>
      </w:r>
      <w:r w:rsidR="00927BDB" w:rsidRPr="00CE705E">
        <w:t xml:space="preserve"> Meeting</w:t>
      </w:r>
      <w:r w:rsidR="00F8684B" w:rsidRPr="00CE705E">
        <w:t>s</w:t>
      </w:r>
      <w:r>
        <w:t xml:space="preserve"> (n = 6)</w:t>
      </w:r>
      <w:r w:rsidR="00927BDB" w:rsidRPr="00CE705E">
        <w:t>.</w:t>
      </w:r>
      <w:r w:rsidR="00A96517" w:rsidRPr="00CE705E">
        <w:t xml:space="preserve"> For this study, we analyzed 6 of each of those sessions.</w:t>
      </w:r>
      <w:r w:rsidR="00927BDB" w:rsidRPr="00CE705E">
        <w:t xml:space="preserve"> </w:t>
      </w:r>
      <w:r w:rsidRPr="00CE705E">
        <w:t>During the Regular Meetings</w:t>
      </w:r>
      <w:r>
        <w:t>,</w:t>
      </w:r>
      <w:r w:rsidRPr="00CE705E">
        <w:t xml:space="preserve"> the lesson plans were developed based on the </w:t>
      </w:r>
      <w:r w:rsidRPr="00024BC1">
        <w:t>5</w:t>
      </w:r>
      <w:r w:rsidRPr="00024BC1">
        <w:rPr>
          <w:vertAlign w:val="superscript"/>
        </w:rPr>
        <w:t>th</w:t>
      </w:r>
      <w:r w:rsidRPr="00CE705E">
        <w:t xml:space="preserve"> grade mathematics</w:t>
      </w:r>
      <w:r>
        <w:t xml:space="preserve"> textbook (National </w:t>
      </w:r>
      <w:r w:rsidRPr="00CE705E">
        <w:t>Ministry of Education</w:t>
      </w:r>
      <w:r>
        <w:t>).</w:t>
      </w:r>
      <w:r w:rsidRPr="00CE705E">
        <w:t xml:space="preserve"> </w:t>
      </w:r>
      <w:r>
        <w:t>Because of this arrangement; academicians</w:t>
      </w:r>
      <w:r w:rsidRPr="00CE705E">
        <w:t xml:space="preserve"> did not </w:t>
      </w:r>
      <w:r>
        <w:t>have much freedom on what to teach or</w:t>
      </w:r>
      <w:r w:rsidRPr="00CE705E">
        <w:t xml:space="preserve"> how to teach. In contrast, during Fraction Research Meetings, </w:t>
      </w:r>
      <w:r>
        <w:t>we</w:t>
      </w:r>
      <w:r w:rsidRPr="00CE705E">
        <w:t xml:space="preserve"> designed and reflected </w:t>
      </w:r>
      <w:r>
        <w:t>up</w:t>
      </w:r>
      <w:r w:rsidRPr="00CE705E">
        <w:t xml:space="preserve">on </w:t>
      </w:r>
      <w:r>
        <w:t xml:space="preserve">the </w:t>
      </w:r>
      <w:r w:rsidRPr="00CE705E">
        <w:t xml:space="preserve">implementation of a curriculum based on </w:t>
      </w:r>
      <w:r>
        <w:t xml:space="preserve">the </w:t>
      </w:r>
      <w:r w:rsidRPr="00CE705E">
        <w:t>Fraction Scheme Theory</w:t>
      </w:r>
      <w:r>
        <w:t xml:space="preserve"> (</w:t>
      </w:r>
      <w:proofErr w:type="spellStart"/>
      <w:r>
        <w:t>Steffe</w:t>
      </w:r>
      <w:proofErr w:type="spellEnd"/>
      <w:r>
        <w:t xml:space="preserve"> &amp; Olive, </w:t>
      </w:r>
      <w:r w:rsidRPr="00CE705E">
        <w:t>2010)</w:t>
      </w:r>
      <w:r>
        <w:t>.</w:t>
      </w:r>
      <w:r w:rsidR="00146DBD" w:rsidRPr="00CE705E">
        <w:t xml:space="preserve"> </w:t>
      </w:r>
      <w:r w:rsidR="00B2253C" w:rsidRPr="00CE705E">
        <w:t>Furthermore, d</w:t>
      </w:r>
      <w:r w:rsidR="008B7DEA" w:rsidRPr="00CE705E">
        <w:t>uring Fraction Research M</w:t>
      </w:r>
      <w:r w:rsidR="00AF55C2" w:rsidRPr="00CE705E">
        <w:t xml:space="preserve">eetings, </w:t>
      </w:r>
      <w:r w:rsidR="00F8684B" w:rsidRPr="00CE705E">
        <w:t>videotapes of classroom instruction</w:t>
      </w:r>
      <w:r w:rsidR="00AF55C2" w:rsidRPr="00CE705E">
        <w:t xml:space="preserve"> were </w:t>
      </w:r>
      <w:r w:rsidR="00F8684B" w:rsidRPr="00CE705E">
        <w:t xml:space="preserve">discussed </w:t>
      </w:r>
      <w:r w:rsidR="00AF55C2" w:rsidRPr="00CE705E">
        <w:t xml:space="preserve">and certain </w:t>
      </w:r>
      <w:r w:rsidR="005F7EA7" w:rsidRPr="00CE705E">
        <w:t>noticing</w:t>
      </w:r>
      <w:r w:rsidR="00AF55C2" w:rsidRPr="00CE705E">
        <w:t xml:space="preserve"> and instructional moves were </w:t>
      </w:r>
      <w:r w:rsidR="00F8684B" w:rsidRPr="00CE705E">
        <w:t xml:space="preserve">shared </w:t>
      </w:r>
      <w:r>
        <w:t>with reference to the daily teaching experiences of each academician</w:t>
      </w:r>
      <w:r w:rsidR="00C1783B">
        <w:t xml:space="preserve">. </w:t>
      </w:r>
    </w:p>
    <w:p w14:paraId="1B42E338" w14:textId="3F133C80" w:rsidR="00955B47" w:rsidRPr="00CE705E" w:rsidRDefault="005A6D79" w:rsidP="00CC45A9">
      <w:pPr>
        <w:pStyle w:val="ICMEHeading2"/>
      </w:pPr>
      <w:r w:rsidRPr="00CC45A9">
        <w:lastRenderedPageBreak/>
        <w:t>D</w:t>
      </w:r>
      <w:r w:rsidR="00427A4A" w:rsidRPr="00CC45A9">
        <w:t>ATA</w:t>
      </w:r>
      <w:r w:rsidRPr="00CC45A9">
        <w:t xml:space="preserve"> </w:t>
      </w:r>
      <w:r w:rsidR="00C014B0" w:rsidRPr="00CC45A9">
        <w:t>ANALYSIS</w:t>
      </w:r>
      <w:r w:rsidR="00CC45A9">
        <w:t xml:space="preserve"> AND</w:t>
      </w:r>
      <w:r w:rsidR="00C014B0" w:rsidRPr="00CC45A9">
        <w:t xml:space="preserve"> </w:t>
      </w:r>
      <w:r w:rsidR="00CC45A9" w:rsidRPr="00CC45A9">
        <w:t>FINDINGS</w:t>
      </w:r>
    </w:p>
    <w:p w14:paraId="3EBED877" w14:textId="662AF20E" w:rsidR="006E4F7A" w:rsidRPr="00CE705E" w:rsidRDefault="005A6D79" w:rsidP="00CC45A9">
      <w:pPr>
        <w:pStyle w:val="ICMENormal"/>
      </w:pPr>
      <w:r w:rsidRPr="00CE705E">
        <w:t>Qualitative methods</w:t>
      </w:r>
      <w:r w:rsidR="00C1783B">
        <w:t xml:space="preserve">, namely, content analysis </w:t>
      </w:r>
      <w:r w:rsidR="00C1783B" w:rsidRPr="00CE705E">
        <w:t>(</w:t>
      </w:r>
      <w:proofErr w:type="spellStart"/>
      <w:r w:rsidR="00C1783B">
        <w:t>Stemler</w:t>
      </w:r>
      <w:proofErr w:type="spellEnd"/>
      <w:r w:rsidR="00C1783B">
        <w:t>, 2001</w:t>
      </w:r>
      <w:r w:rsidR="00C1783B" w:rsidRPr="00CE705E">
        <w:t>)</w:t>
      </w:r>
      <w:r w:rsidR="00C1783B">
        <w:t xml:space="preserve">, </w:t>
      </w:r>
      <w:r w:rsidR="00EA741B" w:rsidRPr="00CE705E">
        <w:t>w</w:t>
      </w:r>
      <w:r w:rsidR="00C1783B">
        <w:t>as</w:t>
      </w:r>
      <w:r w:rsidR="00EA741B" w:rsidRPr="00CE705E">
        <w:t xml:space="preserve"> utilized </w:t>
      </w:r>
      <w:r w:rsidR="00F81BF0" w:rsidRPr="00CE705E">
        <w:t xml:space="preserve">to analyze </w:t>
      </w:r>
      <w:proofErr w:type="gramStart"/>
      <w:r w:rsidR="00F81BF0" w:rsidRPr="00CE705E">
        <w:t>the  trans</w:t>
      </w:r>
      <w:r w:rsidR="00B61BB0" w:rsidRPr="00CE705E">
        <w:t>criptions</w:t>
      </w:r>
      <w:proofErr w:type="gramEnd"/>
      <w:r w:rsidR="00B61BB0" w:rsidRPr="00CE705E">
        <w:t xml:space="preserve"> of group meetings</w:t>
      </w:r>
      <w:r w:rsidR="00C1783B">
        <w:t xml:space="preserve">. </w:t>
      </w:r>
      <w:r w:rsidR="00B61BB0" w:rsidRPr="00CE705E">
        <w:t>We first identified significant excerpts in the transcripts</w:t>
      </w:r>
      <w:r w:rsidR="004D6C76" w:rsidRPr="00CE705E">
        <w:t xml:space="preserve">, </w:t>
      </w:r>
      <w:r w:rsidR="00B61BB0" w:rsidRPr="00CE705E">
        <w:t xml:space="preserve">which had </w:t>
      </w:r>
      <w:r w:rsidR="008B7DEA" w:rsidRPr="00CE705E">
        <w:t>a</w:t>
      </w:r>
      <w:r w:rsidR="00B61BB0" w:rsidRPr="00CE705E">
        <w:t xml:space="preserve"> potential to reveal different domains of PCK. </w:t>
      </w:r>
      <w:r w:rsidR="00024BC1">
        <w:t>Secondly, w</w:t>
      </w:r>
      <w:r w:rsidR="00B61BB0" w:rsidRPr="00CE705E">
        <w:t>e specifically ascribed each component of PCK framework to group members’ reflections, comments, and questions within those excerpts.</w:t>
      </w:r>
      <w:r w:rsidR="009F784F" w:rsidRPr="00CE705E">
        <w:t xml:space="preserve"> </w:t>
      </w:r>
      <w:r w:rsidR="00024BC1">
        <w:t>Finally, w</w:t>
      </w:r>
      <w:r w:rsidR="00057A3B" w:rsidRPr="00CE705E">
        <w:t xml:space="preserve">e calculated frequencies of each knowledge domain </w:t>
      </w:r>
      <w:r w:rsidR="00C1783B">
        <w:t xml:space="preserve">that </w:t>
      </w:r>
      <w:r w:rsidR="00057A3B" w:rsidRPr="00CE705E">
        <w:t>emerged in each meeting. Total frequencies for Regular</w:t>
      </w:r>
      <w:r w:rsidR="00475DCA" w:rsidRPr="00CE705E">
        <w:t xml:space="preserve"> </w:t>
      </w:r>
      <w:r w:rsidR="00057A3B" w:rsidRPr="00CE705E">
        <w:t xml:space="preserve">Meetings and </w:t>
      </w:r>
      <w:r w:rsidR="00475DCA" w:rsidRPr="00CE705E">
        <w:t xml:space="preserve">Fraction </w:t>
      </w:r>
      <w:r w:rsidR="00057A3B" w:rsidRPr="00CE705E">
        <w:t>Research meetings were calc</w:t>
      </w:r>
      <w:r w:rsidR="00427A4A" w:rsidRPr="00CE705E">
        <w:t>ulated respectively (see Table 1</w:t>
      </w:r>
      <w:r w:rsidR="00057A3B" w:rsidRPr="00CE705E">
        <w:t xml:space="preserve">). </w:t>
      </w:r>
    </w:p>
    <w:p w14:paraId="26A6FF7E" w14:textId="016C0204" w:rsidR="00235CF3" w:rsidRPr="00CE705E" w:rsidRDefault="007A20D0" w:rsidP="00CC45A9">
      <w:pPr>
        <w:pStyle w:val="ICMENormal"/>
      </w:pPr>
      <w:r w:rsidRPr="00CE705E">
        <w:t>The findings revealed</w:t>
      </w:r>
      <w:r w:rsidR="00057A3B" w:rsidRPr="00CE705E">
        <w:t xml:space="preserve"> that</w:t>
      </w:r>
      <w:r w:rsidRPr="00CE705E">
        <w:t xml:space="preserve"> frequenc</w:t>
      </w:r>
      <w:r w:rsidR="0040472C">
        <w:t>ies</w:t>
      </w:r>
      <w:r w:rsidRPr="00CE705E">
        <w:t xml:space="preserve"> of coding related to</w:t>
      </w:r>
      <w:r w:rsidR="00472C31" w:rsidRPr="00CE705E">
        <w:t xml:space="preserve"> components of PCK: </w:t>
      </w:r>
      <w:r w:rsidRPr="00CE705E">
        <w:t xml:space="preserve">Knowledge of </w:t>
      </w:r>
      <w:r w:rsidR="00434172" w:rsidRPr="00CE705E">
        <w:t>S</w:t>
      </w:r>
      <w:r w:rsidRPr="00CE705E">
        <w:t>tudent</w:t>
      </w:r>
      <w:r w:rsidR="00C1783B">
        <w:t xml:space="preserve"> Understanding</w:t>
      </w:r>
      <w:r w:rsidRPr="00CE705E">
        <w:t xml:space="preserve">, Instructional </w:t>
      </w:r>
      <w:r w:rsidR="00434172" w:rsidRPr="00CE705E">
        <w:t>S</w:t>
      </w:r>
      <w:r w:rsidRPr="00CE705E">
        <w:t>trategies,</w:t>
      </w:r>
      <w:r w:rsidR="00C04719" w:rsidRPr="00CE705E">
        <w:t xml:space="preserve"> </w:t>
      </w:r>
      <w:r w:rsidR="00C1783B">
        <w:t xml:space="preserve">and </w:t>
      </w:r>
      <w:r w:rsidR="00434172" w:rsidRPr="00CE705E">
        <w:t>A</w:t>
      </w:r>
      <w:r w:rsidRPr="00CE705E">
        <w:t xml:space="preserve">ssessment have increased substantially for Fraction Research Meetings compared to Regular </w:t>
      </w:r>
      <w:r w:rsidR="00172EDA" w:rsidRPr="00CE705E">
        <w:t>M</w:t>
      </w:r>
      <w:r w:rsidRPr="00CE705E">
        <w:t xml:space="preserve">eetings. On the other hand, </w:t>
      </w:r>
      <w:r w:rsidR="00604FD9">
        <w:t>coding of</w:t>
      </w:r>
      <w:r w:rsidR="0040472C">
        <w:t xml:space="preserve"> </w:t>
      </w:r>
      <w:r w:rsidRPr="00CE705E">
        <w:t xml:space="preserve">Knowledge of </w:t>
      </w:r>
      <w:r w:rsidR="002F26D6" w:rsidRPr="00CE705E">
        <w:t>C</w:t>
      </w:r>
      <w:r w:rsidRPr="00CE705E">
        <w:t xml:space="preserve">urriculum </w:t>
      </w:r>
      <w:r w:rsidR="00604FD9">
        <w:t>in Fraction Research Meetings</w:t>
      </w:r>
      <w:r w:rsidRPr="00CE705E">
        <w:t xml:space="preserve"> </w:t>
      </w:r>
      <w:r w:rsidR="00604FD9">
        <w:t>dropped substantially</w:t>
      </w:r>
      <w:r w:rsidR="00EA2A6A">
        <w:t xml:space="preserve"> </w:t>
      </w:r>
      <w:r w:rsidR="00604FD9">
        <w:t>compared to</w:t>
      </w:r>
      <w:r w:rsidR="00EA2A6A">
        <w:t xml:space="preserve"> the </w:t>
      </w:r>
      <w:r w:rsidRPr="00CE705E">
        <w:t>Regular Meetings</w:t>
      </w:r>
      <w:r w:rsidR="00EA2A6A">
        <w:t>.</w:t>
      </w:r>
      <w:r w:rsidR="00BC1798" w:rsidRPr="00CE705E">
        <w:t xml:space="preserve"> (</w:t>
      </w:r>
      <w:proofErr w:type="gramStart"/>
      <w:r w:rsidR="00BC1798" w:rsidRPr="00CE705E">
        <w:t>see</w:t>
      </w:r>
      <w:proofErr w:type="gramEnd"/>
      <w:r w:rsidR="00BC1798" w:rsidRPr="00CE705E">
        <w:t xml:space="preserve"> Table 1)</w:t>
      </w:r>
      <w:r w:rsidRPr="00CE705E">
        <w:t>.</w:t>
      </w:r>
      <w:r w:rsidR="00101E93" w:rsidRPr="00CE705E">
        <w:t xml:space="preserve"> </w:t>
      </w:r>
      <w:r w:rsidR="00F5586E" w:rsidRPr="00CE705E">
        <w:t xml:space="preserve"> 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52"/>
        <w:gridCol w:w="2169"/>
        <w:gridCol w:w="2002"/>
        <w:gridCol w:w="1883"/>
      </w:tblGrid>
      <w:tr w:rsidR="00CC45A9" w:rsidRPr="00CE705E" w14:paraId="45EB683B" w14:textId="77777777" w:rsidTr="00CC45A9">
        <w:trPr>
          <w:trHeight w:val="488"/>
        </w:trPr>
        <w:tc>
          <w:tcPr>
            <w:tcW w:w="1844" w:type="dxa"/>
            <w:shd w:val="clear" w:color="auto" w:fill="auto"/>
          </w:tcPr>
          <w:p w14:paraId="47AFB849" w14:textId="77777777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</w:p>
        </w:tc>
        <w:tc>
          <w:tcPr>
            <w:tcW w:w="1752" w:type="dxa"/>
            <w:shd w:val="clear" w:color="auto" w:fill="auto"/>
          </w:tcPr>
          <w:p w14:paraId="3B3DAB20" w14:textId="016A1723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  <w:r w:rsidRPr="00CE705E">
              <w:rPr>
                <w:i w:val="0"/>
              </w:rPr>
              <w:t>A. Knowledge of</w:t>
            </w:r>
            <w:r w:rsidR="00C1783B">
              <w:rPr>
                <w:i w:val="0"/>
              </w:rPr>
              <w:t xml:space="preserve"> s</w:t>
            </w:r>
            <w:r w:rsidRPr="00CE705E">
              <w:rPr>
                <w:i w:val="0"/>
              </w:rPr>
              <w:t>tudent</w:t>
            </w:r>
            <w:r w:rsidR="009414AD">
              <w:rPr>
                <w:i w:val="0"/>
              </w:rPr>
              <w:t xml:space="preserve"> understanding</w:t>
            </w:r>
          </w:p>
        </w:tc>
        <w:tc>
          <w:tcPr>
            <w:tcW w:w="2169" w:type="dxa"/>
            <w:shd w:val="clear" w:color="auto" w:fill="auto"/>
          </w:tcPr>
          <w:p w14:paraId="47DAC5F6" w14:textId="5E0641CD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  <w:r w:rsidRPr="00CE705E">
              <w:rPr>
                <w:i w:val="0"/>
              </w:rPr>
              <w:t xml:space="preserve">B. Knowledge of </w:t>
            </w:r>
            <w:r w:rsidR="009414AD">
              <w:rPr>
                <w:i w:val="0"/>
              </w:rPr>
              <w:t>i</w:t>
            </w:r>
            <w:r w:rsidRPr="00CE705E">
              <w:rPr>
                <w:i w:val="0"/>
              </w:rPr>
              <w:t>nstructional strategies</w:t>
            </w:r>
          </w:p>
        </w:tc>
        <w:tc>
          <w:tcPr>
            <w:tcW w:w="2002" w:type="dxa"/>
            <w:shd w:val="clear" w:color="auto" w:fill="auto"/>
          </w:tcPr>
          <w:p w14:paraId="2EE95851" w14:textId="77777777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  <w:r w:rsidRPr="00CE705E">
              <w:rPr>
                <w:i w:val="0"/>
              </w:rPr>
              <w:t>C. Knowledge of assessment</w:t>
            </w:r>
          </w:p>
        </w:tc>
        <w:tc>
          <w:tcPr>
            <w:tcW w:w="1883" w:type="dxa"/>
            <w:shd w:val="clear" w:color="auto" w:fill="auto"/>
          </w:tcPr>
          <w:p w14:paraId="48EDEF1F" w14:textId="77777777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  <w:r w:rsidRPr="00CE705E">
              <w:rPr>
                <w:i w:val="0"/>
              </w:rPr>
              <w:t>D. Knowledge of curriculum</w:t>
            </w:r>
          </w:p>
        </w:tc>
      </w:tr>
      <w:tr w:rsidR="00CC45A9" w:rsidRPr="00CE705E" w14:paraId="4416B6FE" w14:textId="77777777" w:rsidTr="00CC45A9">
        <w:trPr>
          <w:trHeight w:val="2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7560" w14:textId="71B26AA1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  <w:r w:rsidRPr="00CE705E">
              <w:rPr>
                <w:i w:val="0"/>
              </w:rPr>
              <w:t>6-Regular Meetings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EB9F" w14:textId="77777777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  <w:r w:rsidRPr="00CE705E">
              <w:rPr>
                <w:i w:val="0"/>
              </w:rPr>
              <w:t>20</w:t>
            </w:r>
          </w:p>
          <w:p w14:paraId="7345CAD3" w14:textId="35221A96" w:rsidR="00497545" w:rsidRPr="00CE705E" w:rsidRDefault="00497545" w:rsidP="00F5586E">
            <w:pPr>
              <w:pStyle w:val="ICMEAbstract"/>
              <w:spacing w:after="0" w:line="240" w:lineRule="atLeast"/>
              <w:rPr>
                <w:i w:val="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F0AB" w14:textId="77777777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  <w:r w:rsidRPr="00CE705E">
              <w:rPr>
                <w:i w:val="0"/>
              </w:rPr>
              <w:t>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BF3D" w14:textId="77777777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  <w:r w:rsidRPr="00CE705E">
              <w:rPr>
                <w:i w:val="0"/>
              </w:rPr>
              <w:t>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06F50" w14:textId="77777777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  <w:r w:rsidRPr="00CE705E">
              <w:rPr>
                <w:i w:val="0"/>
              </w:rPr>
              <w:t>17</w:t>
            </w:r>
          </w:p>
        </w:tc>
      </w:tr>
      <w:tr w:rsidR="00CC45A9" w:rsidRPr="00CE705E" w14:paraId="2CE2CB4D" w14:textId="77777777" w:rsidTr="00CC45A9">
        <w:trPr>
          <w:trHeight w:val="3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F755" w14:textId="4221DD7A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  <w:r w:rsidRPr="00CE705E">
              <w:rPr>
                <w:i w:val="0"/>
              </w:rPr>
              <w:t>6-Fraction Research</w:t>
            </w:r>
          </w:p>
          <w:p w14:paraId="0CFB462F" w14:textId="77777777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  <w:r w:rsidRPr="00CE705E">
              <w:rPr>
                <w:i w:val="0"/>
              </w:rPr>
              <w:t>Meetings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F8F8" w14:textId="77777777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  <w:r w:rsidRPr="00CE705E">
              <w:rPr>
                <w:i w:val="0"/>
              </w:rPr>
              <w:t>24</w:t>
            </w:r>
          </w:p>
          <w:p w14:paraId="1EC0256F" w14:textId="77777777" w:rsidR="00497545" w:rsidRPr="00CE705E" w:rsidRDefault="00497545" w:rsidP="00F5586E">
            <w:pPr>
              <w:pStyle w:val="ICMEAbstract"/>
              <w:spacing w:after="0" w:line="240" w:lineRule="atLeast"/>
              <w:rPr>
                <w:i w:val="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DB2E" w14:textId="77777777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  <w:r w:rsidRPr="00CE705E">
              <w:rPr>
                <w:i w:val="0"/>
              </w:rPr>
              <w:t>28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54F7" w14:textId="77777777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  <w:r w:rsidRPr="00CE705E">
              <w:rPr>
                <w:i w:val="0"/>
              </w:rPr>
              <w:t>22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7F18" w14:textId="77777777" w:rsidR="00BC1798" w:rsidRPr="00CE705E" w:rsidRDefault="00BC1798" w:rsidP="00F5586E">
            <w:pPr>
              <w:pStyle w:val="ICMEAbstract"/>
              <w:spacing w:after="0" w:line="240" w:lineRule="atLeast"/>
              <w:rPr>
                <w:i w:val="0"/>
              </w:rPr>
            </w:pPr>
            <w:r w:rsidRPr="00CE705E">
              <w:rPr>
                <w:i w:val="0"/>
              </w:rPr>
              <w:t>9</w:t>
            </w:r>
          </w:p>
        </w:tc>
      </w:tr>
    </w:tbl>
    <w:p w14:paraId="08D4FA9C" w14:textId="39C8A537" w:rsidR="0087043B" w:rsidRPr="00CE705E" w:rsidRDefault="00F5586E" w:rsidP="00CC45A9">
      <w:pPr>
        <w:pStyle w:val="ICMEFigTitle"/>
      </w:pPr>
      <w:r w:rsidRPr="00CE705E">
        <w:rPr>
          <w:szCs w:val="24"/>
        </w:rPr>
        <w:t xml:space="preserve">Table </w:t>
      </w:r>
      <w:r w:rsidR="00BC1798" w:rsidRPr="00CE705E">
        <w:rPr>
          <w:szCs w:val="24"/>
        </w:rPr>
        <w:t>1</w:t>
      </w:r>
      <w:r w:rsidRPr="00CE705E">
        <w:rPr>
          <w:szCs w:val="24"/>
        </w:rPr>
        <w:t xml:space="preserve">. </w:t>
      </w:r>
      <w:proofErr w:type="gramStart"/>
      <w:r w:rsidR="00427A4A" w:rsidRPr="00CE705E">
        <w:rPr>
          <w:szCs w:val="24"/>
        </w:rPr>
        <w:t>Total f</w:t>
      </w:r>
      <w:r w:rsidRPr="00CE705E">
        <w:rPr>
          <w:szCs w:val="24"/>
        </w:rPr>
        <w:t>requenc</w:t>
      </w:r>
      <w:r w:rsidR="002658EC" w:rsidRPr="00CE705E">
        <w:rPr>
          <w:szCs w:val="24"/>
        </w:rPr>
        <w:t>ies</w:t>
      </w:r>
      <w:r w:rsidRPr="00CE705E">
        <w:rPr>
          <w:szCs w:val="24"/>
        </w:rPr>
        <w:t xml:space="preserve"> of</w:t>
      </w:r>
      <w:r w:rsidR="00174EA6" w:rsidRPr="00CE705E">
        <w:rPr>
          <w:szCs w:val="24"/>
        </w:rPr>
        <w:t xml:space="preserve"> PCK</w:t>
      </w:r>
      <w:r w:rsidRPr="00CE705E">
        <w:rPr>
          <w:szCs w:val="24"/>
        </w:rPr>
        <w:t xml:space="preserve"> </w:t>
      </w:r>
      <w:r w:rsidR="00174EA6" w:rsidRPr="00CE705E">
        <w:t>C</w:t>
      </w:r>
      <w:r w:rsidRPr="00CE705E">
        <w:t xml:space="preserve">omponents </w:t>
      </w:r>
      <w:r w:rsidR="00174EA6" w:rsidRPr="00CE705E">
        <w:t xml:space="preserve">Observed </w:t>
      </w:r>
      <w:r w:rsidRPr="00CE705E">
        <w:t>in Regular</w:t>
      </w:r>
      <w:r w:rsidR="00172EDA" w:rsidRPr="00CE705E">
        <w:t xml:space="preserve"> </w:t>
      </w:r>
      <w:r w:rsidRPr="00CE705E">
        <w:t xml:space="preserve">and Fraction </w:t>
      </w:r>
      <w:r w:rsidR="00174EA6" w:rsidRPr="00CE705E">
        <w:t>Research</w:t>
      </w:r>
      <w:r w:rsidR="001951A4">
        <w:t xml:space="preserve"> Meetings</w:t>
      </w:r>
      <w:r w:rsidR="00BC1798" w:rsidRPr="00CE705E">
        <w:t>.</w:t>
      </w:r>
      <w:proofErr w:type="gramEnd"/>
      <w:r w:rsidR="00BC1798" w:rsidRPr="00CE705E">
        <w:t xml:space="preserve"> </w:t>
      </w:r>
    </w:p>
    <w:p w14:paraId="6D2504EB" w14:textId="1C0EAA21" w:rsidR="00427A4A" w:rsidRPr="00CE705E" w:rsidRDefault="00427A4A" w:rsidP="00CC45A9">
      <w:pPr>
        <w:pStyle w:val="ICMENormal"/>
      </w:pPr>
      <w:r w:rsidRPr="00CE705E">
        <w:t xml:space="preserve">Typical examples for Regular and Fraction Research </w:t>
      </w:r>
      <w:r w:rsidR="00D40AF4">
        <w:t>Meetings are provided below (e</w:t>
      </w:r>
      <w:r w:rsidRPr="00CE705E">
        <w:t>xamples of coding associated with different knowledge domains are italicized</w:t>
      </w:r>
      <w:r w:rsidR="00D40AF4">
        <w:t>)</w:t>
      </w:r>
      <w:r w:rsidRPr="00CE705E">
        <w:t xml:space="preserve">. </w:t>
      </w:r>
    </w:p>
    <w:p w14:paraId="2DF23064" w14:textId="4D941C02" w:rsidR="00FB32F6" w:rsidRPr="0007490B" w:rsidRDefault="00E74BA6" w:rsidP="00CC45A9">
      <w:pPr>
        <w:pStyle w:val="ICMENormal"/>
      </w:pPr>
      <w:r>
        <w:t>D</w:t>
      </w:r>
      <w:r w:rsidR="00C77836" w:rsidRPr="00CE705E">
        <w:t>uring one of the Fraction</w:t>
      </w:r>
      <w:r w:rsidR="00870C8B" w:rsidRPr="00CE705E">
        <w:t xml:space="preserve"> Research Meeting</w:t>
      </w:r>
      <w:r w:rsidR="00B317CD" w:rsidRPr="00CE705E">
        <w:t>s</w:t>
      </w:r>
      <w:r w:rsidR="00AB63F3" w:rsidRPr="00CE705E">
        <w:t xml:space="preserve"> </w:t>
      </w:r>
      <w:r w:rsidR="00870C8B" w:rsidRPr="00CE705E">
        <w:t>(</w:t>
      </w:r>
      <w:r w:rsidR="00AB63F3" w:rsidRPr="00CE705E">
        <w:t>09.03.2015</w:t>
      </w:r>
      <w:r w:rsidR="00870C8B" w:rsidRPr="00CE705E">
        <w:t>)</w:t>
      </w:r>
      <w:r w:rsidR="00AB63F3" w:rsidRPr="00CE705E">
        <w:t xml:space="preserve"> </w:t>
      </w:r>
      <w:r w:rsidR="00870C8B" w:rsidRPr="00CE705E">
        <w:t xml:space="preserve">the academicians </w:t>
      </w:r>
      <w:r w:rsidR="00B317CD" w:rsidRPr="00CE705E">
        <w:t xml:space="preserve">reflected </w:t>
      </w:r>
      <w:r w:rsidR="00870C8B" w:rsidRPr="00CE705E">
        <w:t>on</w:t>
      </w:r>
      <w:r w:rsidR="00AB63F3" w:rsidRPr="00CE705E">
        <w:t xml:space="preserve"> </w:t>
      </w:r>
      <w:r w:rsidR="00AB63F3" w:rsidRPr="00604FD9">
        <w:rPr>
          <w:i/>
        </w:rPr>
        <w:t xml:space="preserve">how </w:t>
      </w:r>
      <w:r w:rsidR="00870C8B" w:rsidRPr="00604FD9">
        <w:rPr>
          <w:i/>
        </w:rPr>
        <w:t>they</w:t>
      </w:r>
      <w:r w:rsidR="00AB63F3" w:rsidRPr="00604FD9">
        <w:rPr>
          <w:i/>
        </w:rPr>
        <w:t xml:space="preserve"> </w:t>
      </w:r>
      <w:r w:rsidR="00293324" w:rsidRPr="00604FD9">
        <w:rPr>
          <w:i/>
        </w:rPr>
        <w:t>could introduce</w:t>
      </w:r>
      <w:r w:rsidR="00966FB2" w:rsidRPr="00604FD9">
        <w:rPr>
          <w:i/>
        </w:rPr>
        <w:t xml:space="preserve"> the concept of “</w:t>
      </w:r>
      <w:r w:rsidR="00AB63F3" w:rsidRPr="00604FD9">
        <w:rPr>
          <w:i/>
        </w:rPr>
        <w:t>unit fractions</w:t>
      </w:r>
      <w:r w:rsidR="00966FB2" w:rsidRPr="00604FD9">
        <w:rPr>
          <w:i/>
        </w:rPr>
        <w:t>”</w:t>
      </w:r>
      <w:r w:rsidR="00AB63F3" w:rsidRPr="00604FD9">
        <w:rPr>
          <w:i/>
        </w:rPr>
        <w:t xml:space="preserve"> in </w:t>
      </w:r>
      <w:r w:rsidR="00870C8B" w:rsidRPr="00604FD9">
        <w:rPr>
          <w:i/>
        </w:rPr>
        <w:t xml:space="preserve">their </w:t>
      </w:r>
      <w:r w:rsidR="00AB63F3" w:rsidRPr="00604FD9">
        <w:rPr>
          <w:i/>
        </w:rPr>
        <w:t>classes</w:t>
      </w:r>
      <w:r w:rsidR="007D46BE" w:rsidRPr="00CE705E">
        <w:t xml:space="preserve"> (</w:t>
      </w:r>
      <w:r w:rsidR="007D46BE" w:rsidRPr="00604FD9">
        <w:t xml:space="preserve">Knowledge of Instructional strategies </w:t>
      </w:r>
      <w:r w:rsidR="007D46BE" w:rsidRPr="00012BEF">
        <w:t xml:space="preserve">and </w:t>
      </w:r>
      <w:r w:rsidR="007D46BE" w:rsidRPr="00604FD9">
        <w:t>Knowledge of Curriculum</w:t>
      </w:r>
      <w:r w:rsidR="007D46BE" w:rsidRPr="00CE705E">
        <w:t>)</w:t>
      </w:r>
      <w:r w:rsidR="00966FB2" w:rsidRPr="00CE705E">
        <w:t>. O</w:t>
      </w:r>
      <w:r w:rsidR="00057A3B" w:rsidRPr="00CE705E">
        <w:t xml:space="preserve">ne of </w:t>
      </w:r>
      <w:r w:rsidR="00870C8B" w:rsidRPr="00CE705E">
        <w:t xml:space="preserve">the </w:t>
      </w:r>
      <w:r w:rsidR="00057A3B" w:rsidRPr="00CE705E">
        <w:t>group member</w:t>
      </w:r>
      <w:r w:rsidR="00C043FE" w:rsidRPr="00CE705E">
        <w:t>s</w:t>
      </w:r>
      <w:r w:rsidR="00AB63F3" w:rsidRPr="00CE705E">
        <w:t xml:space="preserve"> </w:t>
      </w:r>
      <w:r w:rsidR="00966FB2" w:rsidRPr="00CE705E">
        <w:t>shared her experience</w:t>
      </w:r>
      <w:r w:rsidR="00870C8B" w:rsidRPr="00CE705E">
        <w:t xml:space="preserve">: </w:t>
      </w:r>
      <w:r w:rsidR="00AB63F3" w:rsidRPr="00CE705E">
        <w:t xml:space="preserve">“using </w:t>
      </w:r>
      <w:r w:rsidR="0007490B" w:rsidRPr="0007490B">
        <w:rPr>
          <w:bCs/>
        </w:rPr>
        <w:t>Cuisenaire rod</w:t>
      </w:r>
      <w:r w:rsidR="0007490B" w:rsidRPr="0007490B">
        <w:t>s</w:t>
      </w:r>
      <w:r w:rsidR="00AB63F3" w:rsidRPr="00CE705E">
        <w:t xml:space="preserve">, I asked </w:t>
      </w:r>
      <w:r w:rsidR="00966FB2" w:rsidRPr="00CE705E">
        <w:t xml:space="preserve">the class: ‘what could we name the brown rod </w:t>
      </w:r>
      <w:r w:rsidR="0007490B">
        <w:t xml:space="preserve">if the purple is </w:t>
      </w:r>
      <w:r w:rsidR="00AB63F3" w:rsidRPr="0007490B">
        <w:t>1</w:t>
      </w:r>
      <w:r w:rsidR="00966FB2" w:rsidRPr="00CE705E">
        <w:t>?’</w:t>
      </w:r>
      <w:r w:rsidR="00AB63F3" w:rsidRPr="00CE705E">
        <w:t xml:space="preserve"> </w:t>
      </w:r>
      <w:r w:rsidR="00293324" w:rsidRPr="00CE705E">
        <w:t xml:space="preserve">Her goal was to help students understand and use the concept of unit in answering this question. </w:t>
      </w:r>
      <w:r w:rsidR="0007490B">
        <w:t xml:space="preserve">She reported that </w:t>
      </w:r>
      <w:r w:rsidR="0007490B" w:rsidRPr="00604FD9">
        <w:rPr>
          <w:i/>
        </w:rPr>
        <w:t>h</w:t>
      </w:r>
      <w:r w:rsidR="00AB63F3" w:rsidRPr="00604FD9">
        <w:rPr>
          <w:i/>
        </w:rPr>
        <w:t xml:space="preserve">er students came to use of “multiple” for comparing small rods to the </w:t>
      </w:r>
      <w:r w:rsidR="00870C8B" w:rsidRPr="00604FD9">
        <w:rPr>
          <w:i/>
        </w:rPr>
        <w:t>larger rods</w:t>
      </w:r>
      <w:r w:rsidR="007D46BE" w:rsidRPr="00CE705E">
        <w:t xml:space="preserve"> (</w:t>
      </w:r>
      <w:r w:rsidR="007D46BE" w:rsidRPr="00604FD9">
        <w:t>Knowledge of Student</w:t>
      </w:r>
      <w:r w:rsidR="00012BEF">
        <w:t xml:space="preserve"> Understanding</w:t>
      </w:r>
      <w:r w:rsidR="009414AD">
        <w:t>)</w:t>
      </w:r>
      <w:r w:rsidR="00AB63F3" w:rsidRPr="00CE705E">
        <w:t>.</w:t>
      </w:r>
      <w:r w:rsidR="009414AD">
        <w:t xml:space="preserve"> </w:t>
      </w:r>
      <w:r w:rsidR="001E02BA" w:rsidRPr="00CE705E">
        <w:t xml:space="preserve">Based on this shared experience, </w:t>
      </w:r>
      <w:r w:rsidR="001E02BA" w:rsidRPr="00604FD9">
        <w:rPr>
          <w:i/>
        </w:rPr>
        <w:t>t</w:t>
      </w:r>
      <w:r w:rsidR="00966FB2" w:rsidRPr="00604FD9">
        <w:rPr>
          <w:i/>
        </w:rPr>
        <w:t>he group member</w:t>
      </w:r>
      <w:r w:rsidR="00CE705E" w:rsidRPr="00604FD9">
        <w:rPr>
          <w:i/>
        </w:rPr>
        <w:t>s</w:t>
      </w:r>
      <w:r w:rsidR="00966FB2" w:rsidRPr="00604FD9">
        <w:rPr>
          <w:i/>
        </w:rPr>
        <w:t xml:space="preserve"> sug</w:t>
      </w:r>
      <w:r w:rsidR="00BE5DBD" w:rsidRPr="00604FD9">
        <w:rPr>
          <w:i/>
        </w:rPr>
        <w:t>g</w:t>
      </w:r>
      <w:r w:rsidR="00966FB2" w:rsidRPr="00604FD9">
        <w:rPr>
          <w:i/>
        </w:rPr>
        <w:t>e</w:t>
      </w:r>
      <w:r w:rsidR="00BE5DBD" w:rsidRPr="00604FD9">
        <w:rPr>
          <w:i/>
        </w:rPr>
        <w:t>sted</w:t>
      </w:r>
      <w:r w:rsidR="00AB63F3" w:rsidRPr="00604FD9">
        <w:rPr>
          <w:i/>
        </w:rPr>
        <w:t xml:space="preserve"> they could </w:t>
      </w:r>
      <w:r w:rsidR="001E02BA" w:rsidRPr="00604FD9">
        <w:rPr>
          <w:i/>
        </w:rPr>
        <w:t>introduce</w:t>
      </w:r>
      <w:r w:rsidR="00AB63F3" w:rsidRPr="00604FD9">
        <w:rPr>
          <w:i/>
        </w:rPr>
        <w:t xml:space="preserve"> unit fractions by reversing the comparison; starting with </w:t>
      </w:r>
      <w:r w:rsidR="00BE5DBD" w:rsidRPr="00604FD9">
        <w:rPr>
          <w:i/>
        </w:rPr>
        <w:t xml:space="preserve">a larger </w:t>
      </w:r>
      <w:r w:rsidR="00AB63F3" w:rsidRPr="00604FD9">
        <w:rPr>
          <w:i/>
        </w:rPr>
        <w:t xml:space="preserve">rod and assigning it as “1” </w:t>
      </w:r>
      <w:r w:rsidR="00BE5DBD" w:rsidRPr="00604FD9">
        <w:rPr>
          <w:i/>
        </w:rPr>
        <w:t xml:space="preserve">and posing the question: </w:t>
      </w:r>
      <w:r w:rsidR="00B659FC" w:rsidRPr="00604FD9">
        <w:rPr>
          <w:i/>
        </w:rPr>
        <w:t>“</w:t>
      </w:r>
      <w:r w:rsidR="00AB63F3" w:rsidRPr="00604FD9">
        <w:rPr>
          <w:i/>
        </w:rPr>
        <w:t xml:space="preserve">what name </w:t>
      </w:r>
      <w:r w:rsidR="001E02BA" w:rsidRPr="00604FD9">
        <w:rPr>
          <w:i/>
        </w:rPr>
        <w:t>w</w:t>
      </w:r>
      <w:r w:rsidR="00BE5DBD" w:rsidRPr="00604FD9">
        <w:rPr>
          <w:i/>
        </w:rPr>
        <w:t>ould you call the smaller rod</w:t>
      </w:r>
      <w:r w:rsidR="00BE5DBD" w:rsidRPr="00CE705E">
        <w:t>?</w:t>
      </w:r>
      <w:r w:rsidR="00B659FC" w:rsidRPr="00CE705E">
        <w:t>”</w:t>
      </w:r>
      <w:r w:rsidR="007D46BE" w:rsidRPr="00CE705E">
        <w:t xml:space="preserve"> </w:t>
      </w:r>
      <w:proofErr w:type="gramStart"/>
      <w:r w:rsidR="007D46BE" w:rsidRPr="00CE705E">
        <w:t>(</w:t>
      </w:r>
      <w:r w:rsidR="007D46BE" w:rsidRPr="00604FD9">
        <w:t>Knowledge of Instructional strategies</w:t>
      </w:r>
      <w:r w:rsidR="007D46BE" w:rsidRPr="00CE705E">
        <w:t>).</w:t>
      </w:r>
      <w:proofErr w:type="gramEnd"/>
      <w:r w:rsidR="00870C8B" w:rsidRPr="00CE705E">
        <w:t xml:space="preserve"> In this example</w:t>
      </w:r>
      <w:r w:rsidR="00CE705E">
        <w:t>,</w:t>
      </w:r>
      <w:r w:rsidR="00870C8B" w:rsidRPr="00CE705E">
        <w:t xml:space="preserve"> we observe</w:t>
      </w:r>
      <w:r w:rsidR="00A04180">
        <w:t>d</w:t>
      </w:r>
      <w:r w:rsidR="00870C8B" w:rsidRPr="00CE705E">
        <w:t xml:space="preserve"> that </w:t>
      </w:r>
      <w:r w:rsidR="00293324" w:rsidRPr="00CE705E">
        <w:t>academicians discuss how to ask better questions based on their shared experience.</w:t>
      </w:r>
      <w:r w:rsidR="00427A4A" w:rsidRPr="00CE705E">
        <w:t xml:space="preserve"> </w:t>
      </w:r>
      <w:r w:rsidR="007D46BE" w:rsidRPr="00CE705E">
        <w:t>This excerpt</w:t>
      </w:r>
      <w:r w:rsidR="00CE705E">
        <w:t>, which is shortened here,</w:t>
      </w:r>
      <w:r w:rsidR="007D46BE" w:rsidRPr="00CE705E">
        <w:t xml:space="preserve"> resulted in coding</w:t>
      </w:r>
      <w:r w:rsidR="00427A4A" w:rsidRPr="00CE705E">
        <w:t xml:space="preserve"> as Knowledge of Instructional</w:t>
      </w:r>
      <w:r w:rsidR="007D46BE" w:rsidRPr="00CE705E">
        <w:t xml:space="preserve"> strategi</w:t>
      </w:r>
      <w:r w:rsidR="00CE705E" w:rsidRPr="00CE705E">
        <w:t>es</w:t>
      </w:r>
      <w:r w:rsidR="00CE705E">
        <w:t xml:space="preserve">, </w:t>
      </w:r>
      <w:r w:rsidR="00CE705E" w:rsidRPr="00CE705E">
        <w:t>Knowledge of students</w:t>
      </w:r>
      <w:r w:rsidR="00CE705E">
        <w:t xml:space="preserve">, and </w:t>
      </w:r>
      <w:r w:rsidR="00CE705E" w:rsidRPr="00CE705E">
        <w:t>K</w:t>
      </w:r>
      <w:r w:rsidR="007D46BE" w:rsidRPr="00CE705E">
        <w:t>nowledge of curriculum.</w:t>
      </w:r>
      <w:r w:rsidR="00293324" w:rsidRPr="00CE705E">
        <w:t xml:space="preserve"> In contrast, during the</w:t>
      </w:r>
      <w:r w:rsidR="00B659FC" w:rsidRPr="00CE705E">
        <w:t xml:space="preserve"> </w:t>
      </w:r>
      <w:r w:rsidR="00293324" w:rsidRPr="00CE705E">
        <w:t xml:space="preserve">Regular </w:t>
      </w:r>
      <w:r w:rsidR="00172EDA" w:rsidRPr="00CE705E">
        <w:t>M</w:t>
      </w:r>
      <w:r w:rsidR="00B659FC" w:rsidRPr="00CE705E">
        <w:t>eeting</w:t>
      </w:r>
      <w:r w:rsidR="00293324" w:rsidRPr="00CE705E">
        <w:t>s</w:t>
      </w:r>
      <w:r w:rsidR="00B659FC" w:rsidRPr="00CE705E">
        <w:t xml:space="preserve"> academicians followed </w:t>
      </w:r>
      <w:r w:rsidR="005D2032" w:rsidRPr="00CE705E">
        <w:t xml:space="preserve">the official </w:t>
      </w:r>
      <w:r w:rsidR="00B659FC" w:rsidRPr="00CE705E">
        <w:t xml:space="preserve">curriculum </w:t>
      </w:r>
      <w:r w:rsidR="005D2032" w:rsidRPr="00CE705E">
        <w:t xml:space="preserve">and </w:t>
      </w:r>
      <w:r w:rsidR="00B659FC" w:rsidRPr="00CE705E">
        <w:t xml:space="preserve">they spent most of their time discussing the order of the topics and examples. For example, on 18.09.2015, a teacher academician discussed teaching patterns by using the examples </w:t>
      </w:r>
      <w:r w:rsidR="005D2032" w:rsidRPr="00CE705E">
        <w:t>in the book.</w:t>
      </w:r>
      <w:r w:rsidR="00B659FC" w:rsidRPr="00CE705E">
        <w:t xml:space="preserve"> She shared </w:t>
      </w:r>
      <w:r w:rsidR="00B659FC" w:rsidRPr="00604FD9">
        <w:rPr>
          <w:i/>
        </w:rPr>
        <w:t xml:space="preserve">how </w:t>
      </w:r>
      <w:r w:rsidR="005D2032" w:rsidRPr="00604FD9">
        <w:rPr>
          <w:i/>
        </w:rPr>
        <w:t xml:space="preserve">students </w:t>
      </w:r>
      <w:r w:rsidR="00B659FC" w:rsidRPr="00604FD9">
        <w:rPr>
          <w:i/>
        </w:rPr>
        <w:t xml:space="preserve">were not able to </w:t>
      </w:r>
      <w:r w:rsidR="005D2032" w:rsidRPr="00604FD9">
        <w:rPr>
          <w:i/>
        </w:rPr>
        <w:t>make a transition from drawing figures to thinking mathematically in a given situation</w:t>
      </w:r>
      <w:r w:rsidR="007D46BE" w:rsidRPr="00CE705E">
        <w:t xml:space="preserve"> (</w:t>
      </w:r>
      <w:r w:rsidR="007D46BE" w:rsidRPr="00604FD9">
        <w:t>Knowledge of Students</w:t>
      </w:r>
      <w:r w:rsidR="007D46BE" w:rsidRPr="00CE705E">
        <w:t>)</w:t>
      </w:r>
      <w:r w:rsidR="005D2032" w:rsidRPr="00CE705E">
        <w:t xml:space="preserve">. In response to this comment, </w:t>
      </w:r>
      <w:r w:rsidR="005D2032" w:rsidRPr="00CE705E">
        <w:lastRenderedPageBreak/>
        <w:t>a</w:t>
      </w:r>
      <w:r w:rsidR="00487053" w:rsidRPr="00CE705E">
        <w:t xml:space="preserve">nother </w:t>
      </w:r>
      <w:r w:rsidR="005D2032" w:rsidRPr="00CE705E">
        <w:t xml:space="preserve">group member </w:t>
      </w:r>
      <w:proofErr w:type="gramStart"/>
      <w:r w:rsidR="005D2032" w:rsidRPr="00CE705E">
        <w:t>wondered</w:t>
      </w:r>
      <w:proofErr w:type="gramEnd"/>
      <w:r w:rsidR="00487053" w:rsidRPr="00CE705E">
        <w:t xml:space="preserve"> “</w:t>
      </w:r>
      <w:r w:rsidR="00487053" w:rsidRPr="00604FD9">
        <w:rPr>
          <w:i/>
        </w:rPr>
        <w:t>what</w:t>
      </w:r>
      <w:r w:rsidR="005D2032" w:rsidRPr="00604FD9">
        <w:rPr>
          <w:i/>
        </w:rPr>
        <w:t xml:space="preserve"> is</w:t>
      </w:r>
      <w:r w:rsidR="00487053" w:rsidRPr="00604FD9">
        <w:rPr>
          <w:i/>
        </w:rPr>
        <w:t xml:space="preserve"> the purpose of teaching pattern</w:t>
      </w:r>
      <w:r w:rsidR="005D2032" w:rsidRPr="00604FD9">
        <w:rPr>
          <w:i/>
        </w:rPr>
        <w:t>s</w:t>
      </w:r>
      <w:r w:rsidR="00487053" w:rsidRPr="00604FD9">
        <w:rPr>
          <w:i/>
        </w:rPr>
        <w:t xml:space="preserve"> to 5</w:t>
      </w:r>
      <w:r w:rsidR="00487053" w:rsidRPr="00604FD9">
        <w:rPr>
          <w:i/>
          <w:vertAlign w:val="superscript"/>
        </w:rPr>
        <w:t>th</w:t>
      </w:r>
      <w:r w:rsidR="00487053" w:rsidRPr="00604FD9">
        <w:rPr>
          <w:i/>
        </w:rPr>
        <w:t xml:space="preserve"> graders?</w:t>
      </w:r>
      <w:r w:rsidR="00487053" w:rsidRPr="00CE705E">
        <w:t xml:space="preserve">” </w:t>
      </w:r>
      <w:r w:rsidR="007D46BE" w:rsidRPr="00CE705E">
        <w:t>(</w:t>
      </w:r>
      <w:proofErr w:type="gramStart"/>
      <w:r w:rsidR="007D46BE" w:rsidRPr="00CE705E">
        <w:t>attempt</w:t>
      </w:r>
      <w:proofErr w:type="gramEnd"/>
      <w:r w:rsidR="007D46BE" w:rsidRPr="00CE705E">
        <w:t xml:space="preserve"> to construct </w:t>
      </w:r>
      <w:r w:rsidR="007D46BE" w:rsidRPr="00604FD9">
        <w:t xml:space="preserve">Knowledge of </w:t>
      </w:r>
      <w:r w:rsidR="00012BEF">
        <w:t>C</w:t>
      </w:r>
      <w:r w:rsidR="007D46BE" w:rsidRPr="00604FD9">
        <w:t>urriculum</w:t>
      </w:r>
      <w:r w:rsidR="007D46BE" w:rsidRPr="00CE705E">
        <w:t xml:space="preserve">). </w:t>
      </w:r>
      <w:r w:rsidR="005D2032" w:rsidRPr="00CE705E">
        <w:t>T</w:t>
      </w:r>
      <w:r w:rsidR="00487053" w:rsidRPr="00CE705E">
        <w:t xml:space="preserve">his discussion did not lead to writing new goals for the lesson or producing new examples related to the topic. </w:t>
      </w:r>
      <w:r w:rsidR="00F747A4" w:rsidRPr="00CE705E">
        <w:t xml:space="preserve">Academicians were tentative in terms of changing what to teach and how to teach. Therefore, even though sometimes questions were posed in the discussions, new Knowledge of Curriculum or </w:t>
      </w:r>
      <w:r w:rsidR="00CE705E">
        <w:t>Knowledge of Instructi</w:t>
      </w:r>
      <w:r w:rsidR="00F747A4" w:rsidRPr="00CE705E">
        <w:t xml:space="preserve">onal strategies were not constructed. </w:t>
      </w:r>
      <w:r w:rsidR="005D2032" w:rsidRPr="00CE705E">
        <w:t>This was one of the</w:t>
      </w:r>
      <w:r w:rsidR="00F747A4" w:rsidRPr="00CE705E">
        <w:t xml:space="preserve"> many</w:t>
      </w:r>
      <w:r w:rsidR="005D2032" w:rsidRPr="00CE705E">
        <w:t xml:space="preserve"> examples comparing how </w:t>
      </w:r>
      <w:r w:rsidR="007A713A" w:rsidRPr="00CE705E">
        <w:t>discussions in Fraction</w:t>
      </w:r>
      <w:r w:rsidR="005D2032" w:rsidRPr="00CE705E">
        <w:t xml:space="preserve"> Research</w:t>
      </w:r>
      <w:r w:rsidR="007A713A" w:rsidRPr="00CE705E">
        <w:t xml:space="preserve"> Meetings were more productive with regards to building</w:t>
      </w:r>
      <w:r w:rsidR="00662FDA" w:rsidRPr="00CE705E">
        <w:t xml:space="preserve"> </w:t>
      </w:r>
      <w:r w:rsidR="00F747A4" w:rsidRPr="00CE705E">
        <w:t xml:space="preserve">instruction on students’ </w:t>
      </w:r>
      <w:r w:rsidR="007A713A" w:rsidRPr="00CE705E">
        <w:t xml:space="preserve">thinking </w:t>
      </w:r>
      <w:r w:rsidR="00F747A4" w:rsidRPr="00CE705E">
        <w:t xml:space="preserve">and also leading to the creation of meaningful curriculum </w:t>
      </w:r>
      <w:r w:rsidR="0005036E">
        <w:t>(</w:t>
      </w:r>
      <w:proofErr w:type="spellStart"/>
      <w:r w:rsidR="0005036E">
        <w:t>Chval</w:t>
      </w:r>
      <w:proofErr w:type="spellEnd"/>
      <w:r w:rsidR="0005036E">
        <w:t xml:space="preserve"> &amp; Chavez, 2011)</w:t>
      </w:r>
      <w:r w:rsidR="005D2032" w:rsidRPr="00CE705E">
        <w:t xml:space="preserve"> </w:t>
      </w:r>
      <w:r w:rsidR="00A16067">
        <w:t>compared to</w:t>
      </w:r>
      <w:r w:rsidR="00A16067" w:rsidRPr="00CE705E">
        <w:t xml:space="preserve"> </w:t>
      </w:r>
      <w:r w:rsidR="005D2032" w:rsidRPr="00CE705E">
        <w:t>the Regular Meetings</w:t>
      </w:r>
      <w:r w:rsidR="007A713A" w:rsidRPr="00CE705E">
        <w:t>.</w:t>
      </w:r>
    </w:p>
    <w:p w14:paraId="683FA722" w14:textId="06A1F323" w:rsidR="00C014B0" w:rsidRPr="00CE705E" w:rsidRDefault="00F747A4" w:rsidP="00CC45A9">
      <w:pPr>
        <w:pStyle w:val="ICMEHeading2"/>
        <w:rPr>
          <w:i/>
        </w:rPr>
      </w:pPr>
      <w:r w:rsidRPr="00CE705E">
        <w:t>CONCLUSION</w:t>
      </w:r>
    </w:p>
    <w:p w14:paraId="1F8E63D6" w14:textId="250E6812" w:rsidR="0054185D" w:rsidRPr="00CE705E" w:rsidRDefault="00A04180" w:rsidP="00CC45A9">
      <w:pPr>
        <w:pStyle w:val="ICMENormal"/>
      </w:pPr>
      <w:r>
        <w:t>Overall, findings</w:t>
      </w:r>
      <w:r>
        <w:t xml:space="preserve"> </w:t>
      </w:r>
      <w:r w:rsidRPr="00CE705E">
        <w:t xml:space="preserve">indicated that planning and conducting </w:t>
      </w:r>
      <w:proofErr w:type="gramStart"/>
      <w:r w:rsidRPr="00CE705E">
        <w:t>lessons</w:t>
      </w:r>
      <w:proofErr w:type="gramEnd"/>
      <w:r w:rsidRPr="00CE705E">
        <w:t xml:space="preserve"> as a </w:t>
      </w:r>
      <w:r>
        <w:t xml:space="preserve">whole </w:t>
      </w:r>
      <w:r w:rsidRPr="00CE705E">
        <w:t xml:space="preserve">group within </w:t>
      </w:r>
      <w:r>
        <w:t xml:space="preserve">an adaptation of a </w:t>
      </w:r>
      <w:r w:rsidRPr="00CE705E">
        <w:t xml:space="preserve">lesson study </w:t>
      </w:r>
      <w:r>
        <w:t>was productive and illuminated alternative ways -to</w:t>
      </w:r>
      <w:r w:rsidRPr="00CE705E">
        <w:t xml:space="preserve"> help </w:t>
      </w:r>
      <w:r>
        <w:t>teacher educators’</w:t>
      </w:r>
      <w:r>
        <w:t xml:space="preserve"> professional growth</w:t>
      </w:r>
      <w:r w:rsidR="00B70DCB" w:rsidRPr="00CE705E">
        <w:t>. More specifically, the Fraction Research Meetings where the focus of discussions was on building a curriculum based on Fractions Scheme Theory and students’ thinking appeared to</w:t>
      </w:r>
      <w:r w:rsidR="00A90627" w:rsidRPr="00CE705E">
        <w:t xml:space="preserve"> help academician teachers improve their PCK in different domains</w:t>
      </w:r>
      <w:r w:rsidR="00C77836" w:rsidRPr="00CE705E">
        <w:t xml:space="preserve"> (see Table 1)</w:t>
      </w:r>
      <w:r w:rsidR="00A90627" w:rsidRPr="00CE705E">
        <w:t xml:space="preserve">. </w:t>
      </w:r>
      <w:r w:rsidR="00CE705E">
        <w:t xml:space="preserve">Only the frequency of Knowledge of Curriculum has </w:t>
      </w:r>
      <w:r w:rsidR="00012BEF">
        <w:t>decreased</w:t>
      </w:r>
      <w:r w:rsidR="00A90627" w:rsidRPr="00CE705E">
        <w:t>. The decr</w:t>
      </w:r>
      <w:r w:rsidR="00E15582" w:rsidRPr="00CE705E">
        <w:t>ease in the frequency of the Knowledge of Curriculum</w:t>
      </w:r>
      <w:r w:rsidR="00A90627" w:rsidRPr="00CE705E">
        <w:t xml:space="preserve"> can be explained by the fact that the research team built their own curriculum </w:t>
      </w:r>
      <w:r w:rsidR="00C77836" w:rsidRPr="00CE705E">
        <w:t>during the Fraction</w:t>
      </w:r>
      <w:r w:rsidR="00F73A68" w:rsidRPr="00CE705E">
        <w:t xml:space="preserve"> Resear</w:t>
      </w:r>
      <w:r w:rsidR="00374785" w:rsidRPr="00CE705E">
        <w:t>ch Meeti</w:t>
      </w:r>
      <w:r w:rsidR="00F73A68" w:rsidRPr="00CE705E">
        <w:t xml:space="preserve">ngs. </w:t>
      </w:r>
      <w:r w:rsidR="0054185D" w:rsidRPr="00CE705E">
        <w:t>Curriculum was based on students’ thinking and it was rather difficult to differentiate the curriculum as stand alone component.</w:t>
      </w:r>
    </w:p>
    <w:p w14:paraId="64E3DC68" w14:textId="73B1FE68" w:rsidR="00B70DCB" w:rsidRPr="00CE705E" w:rsidRDefault="002F22B7" w:rsidP="00CC45A9">
      <w:pPr>
        <w:pStyle w:val="ICMENormal"/>
      </w:pPr>
      <w:r w:rsidRPr="00CE705E">
        <w:t>Additionally, a</w:t>
      </w:r>
      <w:r w:rsidR="00395422" w:rsidRPr="00CE705E">
        <w:t xml:space="preserve">fter implementing the lessons, </w:t>
      </w:r>
      <w:r w:rsidRPr="00CE705E">
        <w:t xml:space="preserve">the academician </w:t>
      </w:r>
      <w:r w:rsidR="0007490B">
        <w:t>teachers</w:t>
      </w:r>
      <w:r w:rsidR="00BF2D57" w:rsidRPr="00CE705E">
        <w:t xml:space="preserve"> tended to share different ways of students’ thinking in more specific ways during the Fraction Research Meetings</w:t>
      </w:r>
      <w:r w:rsidR="00395422" w:rsidRPr="00CE705E">
        <w:t xml:space="preserve">. In those </w:t>
      </w:r>
      <w:r w:rsidR="00BF2D57" w:rsidRPr="00CE705E">
        <w:t>meetings</w:t>
      </w:r>
      <w:r w:rsidR="00395422" w:rsidRPr="00CE705E">
        <w:t xml:space="preserve">, </w:t>
      </w:r>
      <w:r w:rsidR="00BF2D57" w:rsidRPr="00CE705E">
        <w:t>the group members also shared video clips of their teaching and discussed how their actions might have influenced student thinking</w:t>
      </w:r>
      <w:r w:rsidR="00395422" w:rsidRPr="00CE705E">
        <w:t xml:space="preserve">. Use of videos in Fraction Research Meetings </w:t>
      </w:r>
      <w:r w:rsidR="00030BF5">
        <w:t>may also offer an explanation for</w:t>
      </w:r>
      <w:r w:rsidR="00BF2D57" w:rsidRPr="00CE705E">
        <w:t xml:space="preserve"> the way academician teachers have developed their PCK</w:t>
      </w:r>
      <w:r w:rsidR="00C77836" w:rsidRPr="00CE705E">
        <w:t>, i.e.</w:t>
      </w:r>
      <w:r w:rsidR="00BF2D57" w:rsidRPr="00CE705E">
        <w:t xml:space="preserve"> in more productive ways</w:t>
      </w:r>
      <w:r w:rsidR="006048AB" w:rsidRPr="00CE705E">
        <w:t xml:space="preserve"> where PCK components </w:t>
      </w:r>
      <w:r w:rsidR="00030BF5">
        <w:t xml:space="preserve">are more </w:t>
      </w:r>
      <w:r w:rsidR="006048AB" w:rsidRPr="00CE705E">
        <w:t xml:space="preserve">connected </w:t>
      </w:r>
      <w:r w:rsidR="00CE705E">
        <w:t xml:space="preserve">to </w:t>
      </w:r>
      <w:r w:rsidR="006048AB" w:rsidRPr="00CE705E">
        <w:t xml:space="preserve">each other as seen in </w:t>
      </w:r>
      <w:r w:rsidR="00030BF5">
        <w:t xml:space="preserve">the </w:t>
      </w:r>
      <w:r w:rsidR="006048AB" w:rsidRPr="00CE705E">
        <w:t>excerpts</w:t>
      </w:r>
      <w:r w:rsidR="00030BF5">
        <w:t xml:space="preserve">. </w:t>
      </w:r>
      <w:r w:rsidR="00BF2D57" w:rsidRPr="00CE705E">
        <w:t xml:space="preserve"> </w:t>
      </w:r>
    </w:p>
    <w:p w14:paraId="49B10B2E" w14:textId="3F5D5301" w:rsidR="00E747AF" w:rsidRPr="00CC45A9" w:rsidRDefault="00E747AF" w:rsidP="00CC45A9">
      <w:pPr>
        <w:pStyle w:val="ICMEHeading3"/>
      </w:pPr>
      <w:r w:rsidRPr="00CC45A9">
        <w:t>References</w:t>
      </w:r>
    </w:p>
    <w:p w14:paraId="4E0EDAC1" w14:textId="3BED86ED" w:rsidR="00466AC1" w:rsidRDefault="00110922" w:rsidP="00CC45A9">
      <w:pPr>
        <w:pStyle w:val="ICMEReferences"/>
      </w:pPr>
      <w:proofErr w:type="spellStart"/>
      <w:proofErr w:type="gramStart"/>
      <w:r>
        <w:t>Çakıroğlu</w:t>
      </w:r>
      <w:proofErr w:type="spellEnd"/>
      <w:r w:rsidR="00466AC1" w:rsidRPr="00466AC1">
        <w:t xml:space="preserve">, E., &amp; </w:t>
      </w:r>
      <w:proofErr w:type="spellStart"/>
      <w:r>
        <w:t>Çakıroğlu</w:t>
      </w:r>
      <w:proofErr w:type="spellEnd"/>
      <w:r w:rsidR="00466AC1" w:rsidRPr="00466AC1">
        <w:t>, J. (2003).</w:t>
      </w:r>
      <w:proofErr w:type="gramEnd"/>
      <w:r w:rsidR="00466AC1" w:rsidRPr="00466AC1">
        <w:t xml:space="preserve"> Reflections on teacher education in Turkey. </w:t>
      </w:r>
      <w:r w:rsidR="00466AC1" w:rsidRPr="00466AC1">
        <w:rPr>
          <w:i/>
          <w:iCs/>
        </w:rPr>
        <w:t>European Journal of Teacher Education</w:t>
      </w:r>
      <w:r w:rsidR="00466AC1" w:rsidRPr="00466AC1">
        <w:t xml:space="preserve">, </w:t>
      </w:r>
      <w:r w:rsidR="00466AC1" w:rsidRPr="00466AC1">
        <w:rPr>
          <w:b/>
          <w:bCs/>
        </w:rPr>
        <w:t>26</w:t>
      </w:r>
      <w:r w:rsidR="00466AC1" w:rsidRPr="00466AC1">
        <w:t>(2), 253–264.</w:t>
      </w:r>
    </w:p>
    <w:p w14:paraId="5F741826" w14:textId="79388D37" w:rsidR="0005036E" w:rsidRDefault="0005036E" w:rsidP="0005036E">
      <w:pPr>
        <w:pStyle w:val="ICMEReferences"/>
      </w:pPr>
      <w:proofErr w:type="spellStart"/>
      <w:r w:rsidRPr="0005036E">
        <w:t>Chval</w:t>
      </w:r>
      <w:proofErr w:type="spellEnd"/>
      <w:r w:rsidRPr="0005036E">
        <w:t xml:space="preserve">, K. B., &amp; Chavez, O. (2012, January). Designing math lessons for English language learners. Mathematics Teaching in the Middle School, 17(5), pp. 261-265. </w:t>
      </w:r>
    </w:p>
    <w:p w14:paraId="1844BB7B" w14:textId="5508EB5B" w:rsidR="00F97A3D" w:rsidRDefault="00F97A3D" w:rsidP="00CC45A9">
      <w:pPr>
        <w:pStyle w:val="ICMEReferences"/>
      </w:pPr>
      <w:proofErr w:type="spellStart"/>
      <w:r w:rsidRPr="00F97A3D">
        <w:rPr>
          <w:lang w:val="de-DE"/>
        </w:rPr>
        <w:t>Depaepe</w:t>
      </w:r>
      <w:proofErr w:type="spellEnd"/>
      <w:r w:rsidRPr="00F97A3D">
        <w:rPr>
          <w:lang w:val="de-DE"/>
        </w:rPr>
        <w:t xml:space="preserve">, F., </w:t>
      </w:r>
      <w:proofErr w:type="spellStart"/>
      <w:r w:rsidRPr="00F97A3D">
        <w:rPr>
          <w:lang w:val="de-DE"/>
        </w:rPr>
        <w:t>Verschaffel</w:t>
      </w:r>
      <w:proofErr w:type="spellEnd"/>
      <w:r w:rsidRPr="00F97A3D">
        <w:rPr>
          <w:lang w:val="de-DE"/>
        </w:rPr>
        <w:t xml:space="preserve">, L., &amp; </w:t>
      </w:r>
      <w:proofErr w:type="spellStart"/>
      <w:r w:rsidRPr="00F97A3D">
        <w:rPr>
          <w:lang w:val="de-DE"/>
        </w:rPr>
        <w:t>Kelchtermans</w:t>
      </w:r>
      <w:proofErr w:type="spellEnd"/>
      <w:r w:rsidRPr="00F97A3D">
        <w:rPr>
          <w:lang w:val="de-DE"/>
        </w:rPr>
        <w:t xml:space="preserve">, G. (2013). </w:t>
      </w:r>
      <w:proofErr w:type="spellStart"/>
      <w:r w:rsidRPr="00F97A3D">
        <w:rPr>
          <w:lang w:val="de-DE"/>
        </w:rPr>
        <w:t>Pedagogical</w:t>
      </w:r>
      <w:proofErr w:type="spellEnd"/>
      <w:r w:rsidRPr="00F97A3D">
        <w:rPr>
          <w:lang w:val="de-DE"/>
        </w:rPr>
        <w:t xml:space="preserve"> </w:t>
      </w:r>
      <w:proofErr w:type="spellStart"/>
      <w:r w:rsidRPr="00F97A3D">
        <w:rPr>
          <w:lang w:val="de-DE"/>
        </w:rPr>
        <w:t>content</w:t>
      </w:r>
      <w:proofErr w:type="spellEnd"/>
      <w:r w:rsidRPr="00F97A3D">
        <w:rPr>
          <w:lang w:val="de-DE"/>
        </w:rPr>
        <w:t xml:space="preserve"> </w:t>
      </w:r>
      <w:proofErr w:type="spellStart"/>
      <w:r w:rsidRPr="00F97A3D">
        <w:rPr>
          <w:lang w:val="de-DE"/>
        </w:rPr>
        <w:t>knowledge</w:t>
      </w:r>
      <w:proofErr w:type="spellEnd"/>
      <w:r w:rsidRPr="00F97A3D">
        <w:rPr>
          <w:lang w:val="de-DE"/>
        </w:rPr>
        <w:t xml:space="preserve">: A </w:t>
      </w:r>
      <w:proofErr w:type="spellStart"/>
      <w:r w:rsidRPr="00F97A3D">
        <w:rPr>
          <w:lang w:val="de-DE"/>
        </w:rPr>
        <w:t>systematic</w:t>
      </w:r>
      <w:proofErr w:type="spellEnd"/>
      <w:r w:rsidRPr="00F97A3D">
        <w:rPr>
          <w:lang w:val="de-DE"/>
        </w:rPr>
        <w:t xml:space="preserve"> </w:t>
      </w:r>
      <w:proofErr w:type="spellStart"/>
      <w:r w:rsidRPr="00F97A3D">
        <w:rPr>
          <w:lang w:val="de-DE"/>
        </w:rPr>
        <w:t>review</w:t>
      </w:r>
      <w:proofErr w:type="spellEnd"/>
      <w:r w:rsidRPr="00F97A3D">
        <w:rPr>
          <w:lang w:val="de-DE"/>
        </w:rPr>
        <w:t xml:space="preserve"> </w:t>
      </w:r>
      <w:proofErr w:type="spellStart"/>
      <w:r w:rsidRPr="00F97A3D">
        <w:rPr>
          <w:lang w:val="de-DE"/>
        </w:rPr>
        <w:t>of</w:t>
      </w:r>
      <w:proofErr w:type="spellEnd"/>
      <w:r w:rsidRPr="00F97A3D">
        <w:rPr>
          <w:lang w:val="de-DE"/>
        </w:rPr>
        <w:t xml:space="preserve"> </w:t>
      </w:r>
      <w:proofErr w:type="spellStart"/>
      <w:r w:rsidRPr="00F97A3D">
        <w:rPr>
          <w:lang w:val="de-DE"/>
        </w:rPr>
        <w:t>the</w:t>
      </w:r>
      <w:proofErr w:type="spellEnd"/>
      <w:r w:rsidRPr="00F97A3D">
        <w:rPr>
          <w:lang w:val="de-DE"/>
        </w:rPr>
        <w:t xml:space="preserve"> </w:t>
      </w:r>
      <w:proofErr w:type="spellStart"/>
      <w:r w:rsidRPr="00F97A3D">
        <w:rPr>
          <w:lang w:val="de-DE"/>
        </w:rPr>
        <w:t>way</w:t>
      </w:r>
      <w:proofErr w:type="spellEnd"/>
      <w:r w:rsidRPr="00F97A3D">
        <w:rPr>
          <w:lang w:val="de-DE"/>
        </w:rPr>
        <w:t xml:space="preserve"> in </w:t>
      </w:r>
      <w:proofErr w:type="spellStart"/>
      <w:r w:rsidRPr="00F97A3D">
        <w:rPr>
          <w:lang w:val="de-DE"/>
        </w:rPr>
        <w:t>which</w:t>
      </w:r>
      <w:proofErr w:type="spellEnd"/>
      <w:r w:rsidRPr="00F97A3D">
        <w:rPr>
          <w:lang w:val="de-DE"/>
        </w:rPr>
        <w:t xml:space="preserve"> </w:t>
      </w:r>
      <w:proofErr w:type="spellStart"/>
      <w:r w:rsidRPr="00F97A3D">
        <w:rPr>
          <w:lang w:val="de-DE"/>
        </w:rPr>
        <w:t>the</w:t>
      </w:r>
      <w:proofErr w:type="spellEnd"/>
      <w:r w:rsidRPr="00F97A3D">
        <w:rPr>
          <w:lang w:val="de-DE"/>
        </w:rPr>
        <w:t xml:space="preserve"> </w:t>
      </w:r>
      <w:proofErr w:type="spellStart"/>
      <w:r w:rsidRPr="00F97A3D">
        <w:rPr>
          <w:lang w:val="de-DE"/>
        </w:rPr>
        <w:t>concept</w:t>
      </w:r>
      <w:proofErr w:type="spellEnd"/>
      <w:r w:rsidRPr="00F97A3D">
        <w:rPr>
          <w:lang w:val="de-DE"/>
        </w:rPr>
        <w:t xml:space="preserve"> </w:t>
      </w:r>
      <w:proofErr w:type="spellStart"/>
      <w:r w:rsidRPr="00F97A3D">
        <w:rPr>
          <w:lang w:val="de-DE"/>
        </w:rPr>
        <w:t>has</w:t>
      </w:r>
      <w:proofErr w:type="spellEnd"/>
      <w:r w:rsidRPr="00F97A3D">
        <w:rPr>
          <w:lang w:val="de-DE"/>
        </w:rPr>
        <w:t xml:space="preserve"> </w:t>
      </w:r>
      <w:proofErr w:type="spellStart"/>
      <w:r w:rsidRPr="00F97A3D">
        <w:rPr>
          <w:lang w:val="de-DE"/>
        </w:rPr>
        <w:t>pervaded</w:t>
      </w:r>
      <w:proofErr w:type="spellEnd"/>
      <w:r w:rsidRPr="00F97A3D">
        <w:rPr>
          <w:lang w:val="de-DE"/>
        </w:rPr>
        <w:t xml:space="preserve"> </w:t>
      </w:r>
      <w:proofErr w:type="spellStart"/>
      <w:r w:rsidRPr="00F97A3D">
        <w:rPr>
          <w:lang w:val="de-DE"/>
        </w:rPr>
        <w:t>mathematics</w:t>
      </w:r>
      <w:proofErr w:type="spellEnd"/>
      <w:r w:rsidRPr="00F97A3D">
        <w:rPr>
          <w:lang w:val="de-DE"/>
        </w:rPr>
        <w:t xml:space="preserve"> </w:t>
      </w:r>
      <w:proofErr w:type="spellStart"/>
      <w:r w:rsidRPr="00F97A3D">
        <w:rPr>
          <w:lang w:val="de-DE"/>
        </w:rPr>
        <w:t>educational</w:t>
      </w:r>
      <w:proofErr w:type="spellEnd"/>
      <w:r w:rsidRPr="00F97A3D">
        <w:rPr>
          <w:lang w:val="de-DE"/>
        </w:rPr>
        <w:t xml:space="preserve"> </w:t>
      </w:r>
      <w:proofErr w:type="spellStart"/>
      <w:r w:rsidRPr="00F97A3D">
        <w:rPr>
          <w:lang w:val="de-DE"/>
        </w:rPr>
        <w:t>research</w:t>
      </w:r>
      <w:proofErr w:type="spellEnd"/>
      <w:r w:rsidRPr="00F97A3D">
        <w:rPr>
          <w:lang w:val="de-DE"/>
        </w:rPr>
        <w:t xml:space="preserve">. </w:t>
      </w:r>
      <w:r w:rsidRPr="00F97A3D">
        <w:rPr>
          <w:i/>
          <w:iCs/>
          <w:lang w:val="de-DE"/>
        </w:rPr>
        <w:t xml:space="preserve">Teaching </w:t>
      </w:r>
      <w:proofErr w:type="spellStart"/>
      <w:r w:rsidRPr="00F97A3D">
        <w:rPr>
          <w:i/>
          <w:iCs/>
          <w:lang w:val="de-DE"/>
        </w:rPr>
        <w:t>and</w:t>
      </w:r>
      <w:proofErr w:type="spellEnd"/>
      <w:r w:rsidRPr="00F97A3D">
        <w:rPr>
          <w:i/>
          <w:iCs/>
          <w:lang w:val="de-DE"/>
        </w:rPr>
        <w:t xml:space="preserve"> </w:t>
      </w:r>
      <w:proofErr w:type="spellStart"/>
      <w:r w:rsidRPr="00F97A3D">
        <w:rPr>
          <w:i/>
          <w:iCs/>
          <w:lang w:val="de-DE"/>
        </w:rPr>
        <w:t>Teacher</w:t>
      </w:r>
      <w:proofErr w:type="spellEnd"/>
      <w:r w:rsidRPr="00F97A3D">
        <w:rPr>
          <w:i/>
          <w:iCs/>
          <w:lang w:val="de-DE"/>
        </w:rPr>
        <w:t xml:space="preserve"> Education</w:t>
      </w:r>
      <w:r w:rsidRPr="00F97A3D">
        <w:rPr>
          <w:lang w:val="de-DE"/>
        </w:rPr>
        <w:t xml:space="preserve">, </w:t>
      </w:r>
      <w:r w:rsidRPr="00F97A3D">
        <w:rPr>
          <w:i/>
          <w:iCs/>
          <w:lang w:val="de-DE"/>
        </w:rPr>
        <w:t>34</w:t>
      </w:r>
      <w:r w:rsidRPr="00F97A3D">
        <w:rPr>
          <w:lang w:val="de-DE"/>
        </w:rPr>
        <w:t>, 12-25.</w:t>
      </w:r>
    </w:p>
    <w:p w14:paraId="78AE618D" w14:textId="77777777" w:rsidR="0092287A" w:rsidRDefault="0092287A" w:rsidP="00CC45A9">
      <w:pPr>
        <w:pStyle w:val="ICMEReferences"/>
      </w:pPr>
      <w:proofErr w:type="spellStart"/>
      <w:r w:rsidRPr="00CE705E">
        <w:t>Lannin</w:t>
      </w:r>
      <w:proofErr w:type="spellEnd"/>
      <w:r w:rsidRPr="00CE705E">
        <w:t xml:space="preserve">, J. K., Webb, M., </w:t>
      </w:r>
      <w:proofErr w:type="spellStart"/>
      <w:r w:rsidRPr="00CE705E">
        <w:t>Chval</w:t>
      </w:r>
      <w:proofErr w:type="spellEnd"/>
      <w:r w:rsidRPr="00CE705E">
        <w:t xml:space="preserve">, K., </w:t>
      </w:r>
      <w:proofErr w:type="spellStart"/>
      <w:r w:rsidRPr="00CE705E">
        <w:t>Arbaugh</w:t>
      </w:r>
      <w:proofErr w:type="spellEnd"/>
      <w:r w:rsidRPr="00CE705E">
        <w:t xml:space="preserve">, F., Hicks, S., Taylor, C., &amp; </w:t>
      </w:r>
      <w:proofErr w:type="spellStart"/>
      <w:r w:rsidRPr="00CE705E">
        <w:t>Bruton</w:t>
      </w:r>
      <w:proofErr w:type="spellEnd"/>
      <w:r w:rsidRPr="00CE705E">
        <w:t xml:space="preserve">, R. (2013).  </w:t>
      </w:r>
      <w:proofErr w:type="gramStart"/>
      <w:r w:rsidRPr="00CE705E">
        <w:t>The development of beginning mathematics teacher pedagogical content knowledge.</w:t>
      </w:r>
      <w:proofErr w:type="gramEnd"/>
      <w:r w:rsidRPr="00CE705E">
        <w:t xml:space="preserve"> </w:t>
      </w:r>
      <w:proofErr w:type="gramStart"/>
      <w:r w:rsidRPr="00CE705E">
        <w:rPr>
          <w:i/>
        </w:rPr>
        <w:t>Journal of Mathematics Teacher Education</w:t>
      </w:r>
      <w:r w:rsidRPr="00CE705E">
        <w:t xml:space="preserve">, </w:t>
      </w:r>
      <w:r w:rsidRPr="00CE705E">
        <w:rPr>
          <w:i/>
        </w:rPr>
        <w:t>16</w:t>
      </w:r>
      <w:r w:rsidRPr="00CE705E">
        <w:t>, 403-426.</w:t>
      </w:r>
      <w:proofErr w:type="gramEnd"/>
      <w:r w:rsidRPr="00CE705E">
        <w:t xml:space="preserve"> </w:t>
      </w:r>
    </w:p>
    <w:p w14:paraId="44FEAC59" w14:textId="134FC7C3" w:rsidR="009E723B" w:rsidRPr="00CE705E" w:rsidRDefault="009E723B" w:rsidP="00CC45A9">
      <w:pPr>
        <w:pStyle w:val="ICMEReferences"/>
      </w:pPr>
      <w:r w:rsidRPr="009E723B">
        <w:rPr>
          <w:lang w:val="de-DE"/>
        </w:rPr>
        <w:t>Lewis, C., Perry, R</w:t>
      </w:r>
      <w:r>
        <w:rPr>
          <w:lang w:val="de-DE"/>
        </w:rPr>
        <w:t xml:space="preserve">., &amp; Hurd, J. (2004). A </w:t>
      </w:r>
      <w:proofErr w:type="spellStart"/>
      <w:r>
        <w:rPr>
          <w:lang w:val="de-DE"/>
        </w:rPr>
        <w:t>deeper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look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lesson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</w:t>
      </w:r>
      <w:r w:rsidRPr="009E723B">
        <w:rPr>
          <w:lang w:val="de-DE"/>
        </w:rPr>
        <w:t>tudy</w:t>
      </w:r>
      <w:proofErr w:type="spellEnd"/>
      <w:r w:rsidRPr="009E723B">
        <w:rPr>
          <w:lang w:val="de-DE"/>
        </w:rPr>
        <w:t xml:space="preserve">. </w:t>
      </w:r>
      <w:r w:rsidRPr="009E723B">
        <w:rPr>
          <w:i/>
          <w:iCs/>
          <w:lang w:val="de-DE"/>
        </w:rPr>
        <w:t xml:space="preserve">Educational </w:t>
      </w:r>
      <w:proofErr w:type="spellStart"/>
      <w:r w:rsidRPr="009E723B">
        <w:rPr>
          <w:i/>
          <w:iCs/>
          <w:lang w:val="de-DE"/>
        </w:rPr>
        <w:t>Leadership</w:t>
      </w:r>
      <w:proofErr w:type="spellEnd"/>
      <w:r w:rsidRPr="009E723B">
        <w:rPr>
          <w:lang w:val="de-DE"/>
        </w:rPr>
        <w:t xml:space="preserve">, </w:t>
      </w:r>
      <w:r w:rsidRPr="009E723B">
        <w:rPr>
          <w:i/>
          <w:iCs/>
          <w:lang w:val="de-DE"/>
        </w:rPr>
        <w:t>61</w:t>
      </w:r>
      <w:r w:rsidRPr="009E723B">
        <w:rPr>
          <w:lang w:val="de-DE"/>
        </w:rPr>
        <w:t>(5), 18.</w:t>
      </w:r>
    </w:p>
    <w:p w14:paraId="495F5819" w14:textId="77777777" w:rsidR="0092287A" w:rsidRPr="00CE705E" w:rsidRDefault="0092287A" w:rsidP="00CC45A9">
      <w:pPr>
        <w:pStyle w:val="ICMEReferences"/>
        <w:rPr>
          <w:rFonts w:ascii="Times" w:hAnsi="Times" w:cs="Times"/>
          <w:sz w:val="24"/>
          <w:szCs w:val="24"/>
        </w:rPr>
      </w:pPr>
      <w:r w:rsidRPr="00CE705E">
        <w:t xml:space="preserve">Shulman, L. S. (1986). Those who understand: Knowledge growth in teaching. </w:t>
      </w:r>
      <w:r w:rsidRPr="00CE705E">
        <w:rPr>
          <w:i/>
        </w:rPr>
        <w:t>Educational Researcher</w:t>
      </w:r>
      <w:r w:rsidRPr="00CE705E">
        <w:t xml:space="preserve">, </w:t>
      </w:r>
      <w:r w:rsidRPr="00CE705E">
        <w:rPr>
          <w:i/>
        </w:rPr>
        <w:t>15</w:t>
      </w:r>
      <w:r w:rsidRPr="00CE705E">
        <w:t>(2), 4–14.</w:t>
      </w:r>
    </w:p>
    <w:p w14:paraId="0A2BE256" w14:textId="1A904D82" w:rsidR="006C4312" w:rsidRDefault="0092287A" w:rsidP="00CC45A9">
      <w:pPr>
        <w:pStyle w:val="ICMEReferences"/>
      </w:pPr>
      <w:proofErr w:type="spellStart"/>
      <w:r w:rsidRPr="00CE705E">
        <w:t>Steffe</w:t>
      </w:r>
      <w:proofErr w:type="spellEnd"/>
      <w:r w:rsidRPr="00CE705E">
        <w:t xml:space="preserve">, L. P., &amp; Olive, J. (2010). </w:t>
      </w:r>
      <w:proofErr w:type="gramStart"/>
      <w:r w:rsidRPr="00CE705E">
        <w:rPr>
          <w:i/>
        </w:rPr>
        <w:t>Children's fractional knowledge.</w:t>
      </w:r>
      <w:proofErr w:type="gramEnd"/>
      <w:r w:rsidRPr="00CE705E">
        <w:t xml:space="preserve"> New York: Springer.</w:t>
      </w:r>
    </w:p>
    <w:p w14:paraId="21BAC6B3" w14:textId="78E89451" w:rsidR="000217DE" w:rsidRPr="00CE705E" w:rsidRDefault="000217DE" w:rsidP="007F0B45">
      <w:pPr>
        <w:pStyle w:val="ICMEReferences"/>
      </w:pPr>
      <w:proofErr w:type="spellStart"/>
      <w:r w:rsidRPr="00476B4F">
        <w:rPr>
          <w:lang w:val="de-DE"/>
        </w:rPr>
        <w:t>Stemler</w:t>
      </w:r>
      <w:proofErr w:type="spellEnd"/>
      <w:r w:rsidRPr="00476B4F">
        <w:rPr>
          <w:lang w:val="de-DE"/>
        </w:rPr>
        <w:t xml:space="preserve">, S. (2001). An </w:t>
      </w:r>
      <w:proofErr w:type="spellStart"/>
      <w:r w:rsidRPr="00476B4F">
        <w:rPr>
          <w:lang w:val="de-DE"/>
        </w:rPr>
        <w:t>overview</w:t>
      </w:r>
      <w:proofErr w:type="spellEnd"/>
      <w:r w:rsidRPr="00476B4F">
        <w:rPr>
          <w:lang w:val="de-DE"/>
        </w:rPr>
        <w:t xml:space="preserve"> </w:t>
      </w:r>
      <w:proofErr w:type="spellStart"/>
      <w:r w:rsidRPr="00476B4F">
        <w:rPr>
          <w:lang w:val="de-DE"/>
        </w:rPr>
        <w:t>of</w:t>
      </w:r>
      <w:proofErr w:type="spellEnd"/>
      <w:r w:rsidRPr="00476B4F">
        <w:rPr>
          <w:lang w:val="de-DE"/>
        </w:rPr>
        <w:t xml:space="preserve"> </w:t>
      </w:r>
      <w:proofErr w:type="spellStart"/>
      <w:r w:rsidRPr="00476B4F">
        <w:rPr>
          <w:lang w:val="de-DE"/>
        </w:rPr>
        <w:t>content</w:t>
      </w:r>
      <w:proofErr w:type="spellEnd"/>
      <w:r w:rsidRPr="00476B4F">
        <w:rPr>
          <w:lang w:val="de-DE"/>
        </w:rPr>
        <w:t xml:space="preserve"> </w:t>
      </w:r>
      <w:proofErr w:type="spellStart"/>
      <w:r w:rsidRPr="00476B4F">
        <w:rPr>
          <w:lang w:val="de-DE"/>
        </w:rPr>
        <w:t>analysis</w:t>
      </w:r>
      <w:proofErr w:type="spellEnd"/>
      <w:r w:rsidRPr="00476B4F">
        <w:rPr>
          <w:lang w:val="de-DE"/>
        </w:rPr>
        <w:t xml:space="preserve">. </w:t>
      </w:r>
      <w:proofErr w:type="spellStart"/>
      <w:r w:rsidRPr="00476B4F">
        <w:rPr>
          <w:i/>
          <w:iCs/>
          <w:lang w:val="de-DE"/>
        </w:rPr>
        <w:t>Practical</w:t>
      </w:r>
      <w:proofErr w:type="spellEnd"/>
      <w:r w:rsidRPr="00476B4F">
        <w:rPr>
          <w:i/>
          <w:iCs/>
          <w:lang w:val="de-DE"/>
        </w:rPr>
        <w:t xml:space="preserve"> </w:t>
      </w:r>
      <w:proofErr w:type="spellStart"/>
      <w:r w:rsidRPr="00476B4F">
        <w:rPr>
          <w:i/>
          <w:iCs/>
          <w:lang w:val="de-DE"/>
        </w:rPr>
        <w:t>assessment</w:t>
      </w:r>
      <w:proofErr w:type="spellEnd"/>
      <w:r w:rsidRPr="00476B4F">
        <w:rPr>
          <w:i/>
          <w:iCs/>
          <w:lang w:val="de-DE"/>
        </w:rPr>
        <w:t xml:space="preserve">, </w:t>
      </w:r>
      <w:proofErr w:type="spellStart"/>
      <w:r w:rsidRPr="00476B4F">
        <w:rPr>
          <w:i/>
          <w:iCs/>
          <w:lang w:val="de-DE"/>
        </w:rPr>
        <w:t>research</w:t>
      </w:r>
      <w:proofErr w:type="spellEnd"/>
      <w:r w:rsidRPr="00476B4F">
        <w:rPr>
          <w:i/>
          <w:iCs/>
          <w:lang w:val="de-DE"/>
        </w:rPr>
        <w:t xml:space="preserve"> &amp; </w:t>
      </w:r>
      <w:proofErr w:type="spellStart"/>
      <w:r w:rsidRPr="00476B4F">
        <w:rPr>
          <w:i/>
          <w:iCs/>
          <w:lang w:val="de-DE"/>
        </w:rPr>
        <w:t>evaluation</w:t>
      </w:r>
      <w:proofErr w:type="spellEnd"/>
      <w:r w:rsidRPr="00476B4F">
        <w:rPr>
          <w:lang w:val="de-DE"/>
        </w:rPr>
        <w:t xml:space="preserve">, </w:t>
      </w:r>
      <w:r w:rsidRPr="00476B4F">
        <w:rPr>
          <w:i/>
          <w:iCs/>
          <w:lang w:val="de-DE"/>
        </w:rPr>
        <w:t>7</w:t>
      </w:r>
      <w:r w:rsidRPr="00476B4F">
        <w:rPr>
          <w:lang w:val="de-DE"/>
        </w:rPr>
        <w:t>(17), 137-146.</w:t>
      </w:r>
    </w:p>
    <w:sectPr w:rsidR="000217DE" w:rsidRPr="00CE705E" w:rsidSect="001A17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134" w:bottom="1418" w:left="1134" w:header="709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DC836" w14:textId="77777777" w:rsidR="00D40AF4" w:rsidRDefault="00D40AF4" w:rsidP="00C04FCA">
      <w:pPr>
        <w:spacing w:after="0" w:line="240" w:lineRule="auto"/>
      </w:pPr>
      <w:r>
        <w:separator/>
      </w:r>
    </w:p>
  </w:endnote>
  <w:endnote w:type="continuationSeparator" w:id="0">
    <w:p w14:paraId="575A8CA9" w14:textId="77777777" w:rsidR="00D40AF4" w:rsidRDefault="00D40AF4" w:rsidP="00C0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FDC89" w14:textId="77777777" w:rsidR="00D40AF4" w:rsidRDefault="00D40AF4" w:rsidP="00F40017">
    <w:pPr>
      <w:pStyle w:val="ICMEBaselineFirstPage"/>
      <w:pBdr>
        <w:top w:val="single" w:sz="4" w:space="1" w:color="auto"/>
      </w:pBdr>
      <w:jc w:val="left"/>
    </w:pPr>
    <w:r>
      <w:t xml:space="preserve">1 - </w:t>
    </w:r>
    <w:r>
      <w:fldChar w:fldCharType="begin"/>
    </w:r>
    <w:r>
      <w:instrText xml:space="preserve"> PAGE  \* MERGEFORMAT </w:instrText>
    </w:r>
    <w:r>
      <w:fldChar w:fldCharType="separate"/>
    </w:r>
    <w:r w:rsidR="00A04180">
      <w:rPr>
        <w:noProof/>
      </w:rPr>
      <w:t>4</w:t>
    </w:r>
    <w:r>
      <w:fldChar w:fldCharType="end"/>
    </w: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99E7D" w14:textId="77777777" w:rsidR="00D40AF4" w:rsidRDefault="00D40AF4" w:rsidP="00F40017">
    <w:pPr>
      <w:pStyle w:val="ICMEBaselineFirstPage"/>
      <w:pBdr>
        <w:top w:val="single" w:sz="4" w:space="1" w:color="auto"/>
      </w:pBdr>
      <w:jc w:val="right"/>
    </w:pPr>
    <w:r>
      <w:tab/>
      <w:t xml:space="preserve">1 - </w:t>
    </w:r>
    <w:r>
      <w:fldChar w:fldCharType="begin"/>
    </w:r>
    <w:r>
      <w:instrText xml:space="preserve"> PAGE  \* MERGEFORMAT </w:instrText>
    </w:r>
    <w:r>
      <w:fldChar w:fldCharType="separate"/>
    </w:r>
    <w:r w:rsidR="00A04180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9FBD0" w14:textId="77777777" w:rsidR="00D40AF4" w:rsidRDefault="00D40AF4" w:rsidP="000F3151">
    <w:pPr>
      <w:pStyle w:val="ICMEBaselineFirstPage"/>
      <w:pBdr>
        <w:top w:val="single" w:sz="4" w:space="1" w:color="auto"/>
      </w:pBdr>
      <w:jc w:val="right"/>
    </w:pPr>
    <w:r>
      <w:t xml:space="preserve">1 - </w:t>
    </w:r>
    <w:r>
      <w:fldChar w:fldCharType="begin"/>
    </w:r>
    <w:r>
      <w:instrText xml:space="preserve"> PAGE  \* MERGEFORMAT </w:instrText>
    </w:r>
    <w:r>
      <w:fldChar w:fldCharType="separate"/>
    </w:r>
    <w:r w:rsidR="00A0418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4EEED" w14:textId="77777777" w:rsidR="00D40AF4" w:rsidRDefault="00D40AF4" w:rsidP="00C04FCA">
      <w:pPr>
        <w:spacing w:after="0" w:line="240" w:lineRule="auto"/>
      </w:pPr>
      <w:r>
        <w:separator/>
      </w:r>
    </w:p>
  </w:footnote>
  <w:footnote w:type="continuationSeparator" w:id="0">
    <w:p w14:paraId="5E08FCEE" w14:textId="77777777" w:rsidR="00D40AF4" w:rsidRDefault="00D40AF4" w:rsidP="00C0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934A9" w14:textId="70053C39" w:rsidR="00D40AF4" w:rsidRPr="005C388F" w:rsidRDefault="00D40AF4" w:rsidP="001A1727">
    <w:pPr>
      <w:pStyle w:val="ICMEHeadline"/>
      <w:rPr>
        <w:lang w:val="en-US"/>
      </w:rPr>
    </w:pPr>
    <w:proofErr w:type="spellStart"/>
    <w:r>
      <w:rPr>
        <w:lang w:val="en-US"/>
      </w:rPr>
      <w:t>Tunç</w:t>
    </w:r>
    <w:proofErr w:type="spellEnd"/>
    <w:r>
      <w:rPr>
        <w:lang w:val="en-US"/>
      </w:rPr>
      <w:t xml:space="preserve">-Pekkan, Taylan, </w:t>
    </w:r>
    <w:proofErr w:type="spellStart"/>
    <w:r>
      <w:rPr>
        <w:lang w:val="en-US"/>
      </w:rPr>
      <w:t>Birgili</w:t>
    </w:r>
    <w:proofErr w:type="spellEnd"/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C5BA7" w14:textId="2CB0FD03" w:rsidR="00D40AF4" w:rsidRPr="005C388F" w:rsidRDefault="00D40AF4" w:rsidP="001A1727">
    <w:pPr>
      <w:pStyle w:val="ICMEHeadline"/>
      <w:jc w:val="right"/>
      <w:rPr>
        <w:lang w:val="en-US"/>
      </w:rPr>
    </w:pPr>
    <w:proofErr w:type="spellStart"/>
    <w:r>
      <w:rPr>
        <w:lang w:val="en-US"/>
      </w:rPr>
      <w:t>Tunç</w:t>
    </w:r>
    <w:proofErr w:type="spellEnd"/>
    <w:r>
      <w:rPr>
        <w:lang w:val="en-US"/>
      </w:rPr>
      <w:t xml:space="preserve">-Pekkan, Taylan, </w:t>
    </w:r>
    <w:proofErr w:type="spellStart"/>
    <w:r>
      <w:rPr>
        <w:lang w:val="en-US"/>
      </w:rPr>
      <w:t>Birgili</w:t>
    </w:r>
    <w:proofErr w:type="spellEnd"/>
    <w:r>
      <w:rPr>
        <w:lang w:val="en-US"/>
      </w:rPr>
      <w:t xml:space="preserve">, </w:t>
    </w:r>
    <w:proofErr w:type="spellStart"/>
    <w:r>
      <w:rPr>
        <w:lang w:val="en-US"/>
      </w:rPr>
      <w:t>Aydın</w:t>
    </w:r>
    <w:proofErr w:type="spellEnd"/>
    <w:r>
      <w:rPr>
        <w:lang w:val="en-US"/>
      </w:rPr>
      <w:t xml:space="preserve">, </w:t>
    </w:r>
    <w:proofErr w:type="spellStart"/>
    <w:r>
      <w:rPr>
        <w:lang w:val="en-US"/>
      </w:rPr>
      <w:t>Özcan</w:t>
    </w:r>
    <w:proofErr w:type="spellEnd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65DD1" w14:textId="77777777" w:rsidR="00D40AF4" w:rsidRDefault="00D40AF4" w:rsidP="008E54EA">
    <w:pPr>
      <w:pStyle w:val="Header"/>
      <w:rPr>
        <w:lang w:val="en-US"/>
      </w:rPr>
    </w:pPr>
    <w:r w:rsidRPr="008E54EA">
      <w:rPr>
        <w:lang w:val="en-US"/>
      </w:rPr>
      <w:t>13th International Congress on Mathematical Education</w:t>
    </w:r>
    <w:r>
      <w:rPr>
        <w:lang w:val="en-US"/>
      </w:rPr>
      <w:t xml:space="preserve"> </w:t>
    </w:r>
    <w:r>
      <w:rPr>
        <w:lang w:val="en-US"/>
      </w:rPr>
      <w:tab/>
    </w:r>
  </w:p>
  <w:p w14:paraId="3239E029" w14:textId="77777777" w:rsidR="00D40AF4" w:rsidRPr="008E54EA" w:rsidRDefault="00D40AF4" w:rsidP="008E54EA">
    <w:pPr>
      <w:pStyle w:val="Header"/>
      <w:rPr>
        <w:lang w:val="en-US"/>
      </w:rPr>
    </w:pPr>
    <w:r>
      <w:rPr>
        <w:lang w:val="en-US"/>
      </w:rPr>
      <w:t>Hamburg, 24-31 July 2016</w:t>
    </w:r>
    <w:r>
      <w:rPr>
        <w:lang w:val="en-US"/>
      </w:rPr>
      <w:tab/>
      <w:t xml:space="preserve">                                                    </w:t>
    </w:r>
  </w:p>
  <w:p w14:paraId="71595870" w14:textId="77777777" w:rsidR="00D40AF4" w:rsidRPr="008E54EA" w:rsidRDefault="00D40AF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05FD5"/>
    <w:multiLevelType w:val="hybridMultilevel"/>
    <w:tmpl w:val="C7D26A4E"/>
    <w:lvl w:ilvl="0" w:tplc="A372BA24">
      <w:start w:val="1"/>
      <w:numFmt w:val="bullet"/>
      <w:pStyle w:val="PME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36"/>
    <w:rsid w:val="00000C53"/>
    <w:rsid w:val="0000296C"/>
    <w:rsid w:val="000118FB"/>
    <w:rsid w:val="00012BEF"/>
    <w:rsid w:val="000217DE"/>
    <w:rsid w:val="00024BC1"/>
    <w:rsid w:val="00025732"/>
    <w:rsid w:val="00025957"/>
    <w:rsid w:val="000273A3"/>
    <w:rsid w:val="00030BF5"/>
    <w:rsid w:val="000339DF"/>
    <w:rsid w:val="00035C8C"/>
    <w:rsid w:val="00046526"/>
    <w:rsid w:val="0004708E"/>
    <w:rsid w:val="0005036E"/>
    <w:rsid w:val="000513E9"/>
    <w:rsid w:val="000529DC"/>
    <w:rsid w:val="00057A3B"/>
    <w:rsid w:val="0007066E"/>
    <w:rsid w:val="0007490B"/>
    <w:rsid w:val="00082615"/>
    <w:rsid w:val="00092FAC"/>
    <w:rsid w:val="00097003"/>
    <w:rsid w:val="00097E8A"/>
    <w:rsid w:val="000A2676"/>
    <w:rsid w:val="000A2D1D"/>
    <w:rsid w:val="000B0FD5"/>
    <w:rsid w:val="000B3834"/>
    <w:rsid w:val="000C381C"/>
    <w:rsid w:val="000D352C"/>
    <w:rsid w:val="000E315A"/>
    <w:rsid w:val="000E620F"/>
    <w:rsid w:val="000F1DD9"/>
    <w:rsid w:val="000F3151"/>
    <w:rsid w:val="001014F2"/>
    <w:rsid w:val="00101E93"/>
    <w:rsid w:val="0010472B"/>
    <w:rsid w:val="00110922"/>
    <w:rsid w:val="001170C3"/>
    <w:rsid w:val="00124546"/>
    <w:rsid w:val="00132441"/>
    <w:rsid w:val="00140D5B"/>
    <w:rsid w:val="00146DBD"/>
    <w:rsid w:val="00151875"/>
    <w:rsid w:val="00160D8B"/>
    <w:rsid w:val="00172EDA"/>
    <w:rsid w:val="001733CE"/>
    <w:rsid w:val="00174EA6"/>
    <w:rsid w:val="001929F0"/>
    <w:rsid w:val="001951A4"/>
    <w:rsid w:val="001963EF"/>
    <w:rsid w:val="001A1727"/>
    <w:rsid w:val="001A1DA5"/>
    <w:rsid w:val="001A3940"/>
    <w:rsid w:val="001B1695"/>
    <w:rsid w:val="001B2110"/>
    <w:rsid w:val="001B2310"/>
    <w:rsid w:val="001C03E2"/>
    <w:rsid w:val="001D36F8"/>
    <w:rsid w:val="001E02BA"/>
    <w:rsid w:val="001E5278"/>
    <w:rsid w:val="001F04BC"/>
    <w:rsid w:val="00215211"/>
    <w:rsid w:val="00235CF3"/>
    <w:rsid w:val="00236C5E"/>
    <w:rsid w:val="00241989"/>
    <w:rsid w:val="0024204A"/>
    <w:rsid w:val="00243BA2"/>
    <w:rsid w:val="00247E31"/>
    <w:rsid w:val="0025519F"/>
    <w:rsid w:val="002658EC"/>
    <w:rsid w:val="00283FEC"/>
    <w:rsid w:val="002919CF"/>
    <w:rsid w:val="00293324"/>
    <w:rsid w:val="002968FF"/>
    <w:rsid w:val="002A0543"/>
    <w:rsid w:val="002A290B"/>
    <w:rsid w:val="002B2FDE"/>
    <w:rsid w:val="002B4AE7"/>
    <w:rsid w:val="002D2A44"/>
    <w:rsid w:val="002E74A8"/>
    <w:rsid w:val="002F09CD"/>
    <w:rsid w:val="002F22B7"/>
    <w:rsid w:val="002F26D6"/>
    <w:rsid w:val="00301B08"/>
    <w:rsid w:val="00304CD6"/>
    <w:rsid w:val="003119FE"/>
    <w:rsid w:val="00313EE8"/>
    <w:rsid w:val="00315DF9"/>
    <w:rsid w:val="003210DD"/>
    <w:rsid w:val="00324D32"/>
    <w:rsid w:val="0032562A"/>
    <w:rsid w:val="00326F77"/>
    <w:rsid w:val="00327ED3"/>
    <w:rsid w:val="00337C58"/>
    <w:rsid w:val="00343180"/>
    <w:rsid w:val="003462A3"/>
    <w:rsid w:val="00373542"/>
    <w:rsid w:val="00374785"/>
    <w:rsid w:val="00375894"/>
    <w:rsid w:val="00384925"/>
    <w:rsid w:val="00392687"/>
    <w:rsid w:val="00395422"/>
    <w:rsid w:val="003A7473"/>
    <w:rsid w:val="003A752D"/>
    <w:rsid w:val="003A764E"/>
    <w:rsid w:val="003B046A"/>
    <w:rsid w:val="003B74D6"/>
    <w:rsid w:val="003E1778"/>
    <w:rsid w:val="003E32E6"/>
    <w:rsid w:val="003F0D5C"/>
    <w:rsid w:val="003F1530"/>
    <w:rsid w:val="003F3D87"/>
    <w:rsid w:val="0040472C"/>
    <w:rsid w:val="004124AA"/>
    <w:rsid w:val="004179DD"/>
    <w:rsid w:val="00422F0A"/>
    <w:rsid w:val="0042335C"/>
    <w:rsid w:val="004252AA"/>
    <w:rsid w:val="00427A4A"/>
    <w:rsid w:val="00434172"/>
    <w:rsid w:val="00435F96"/>
    <w:rsid w:val="004372AE"/>
    <w:rsid w:val="004418AF"/>
    <w:rsid w:val="00444B09"/>
    <w:rsid w:val="00462F44"/>
    <w:rsid w:val="0046579E"/>
    <w:rsid w:val="00466AC1"/>
    <w:rsid w:val="00471CB7"/>
    <w:rsid w:val="00472C31"/>
    <w:rsid w:val="00475DCA"/>
    <w:rsid w:val="00477007"/>
    <w:rsid w:val="0048212A"/>
    <w:rsid w:val="00485102"/>
    <w:rsid w:val="00487053"/>
    <w:rsid w:val="00487FC1"/>
    <w:rsid w:val="00492C0F"/>
    <w:rsid w:val="00494407"/>
    <w:rsid w:val="00497545"/>
    <w:rsid w:val="004A5A16"/>
    <w:rsid w:val="004A6F14"/>
    <w:rsid w:val="004C0803"/>
    <w:rsid w:val="004D6C76"/>
    <w:rsid w:val="004E73E6"/>
    <w:rsid w:val="004F2ADB"/>
    <w:rsid w:val="00500E5A"/>
    <w:rsid w:val="00505F02"/>
    <w:rsid w:val="00512E54"/>
    <w:rsid w:val="005320AF"/>
    <w:rsid w:val="0054185D"/>
    <w:rsid w:val="005515A1"/>
    <w:rsid w:val="00585A2F"/>
    <w:rsid w:val="005A174F"/>
    <w:rsid w:val="005A6D79"/>
    <w:rsid w:val="005C388F"/>
    <w:rsid w:val="005C4FCC"/>
    <w:rsid w:val="005D0F75"/>
    <w:rsid w:val="005D2032"/>
    <w:rsid w:val="005D2076"/>
    <w:rsid w:val="005D2A94"/>
    <w:rsid w:val="005D3183"/>
    <w:rsid w:val="005D7E67"/>
    <w:rsid w:val="005E2E5E"/>
    <w:rsid w:val="005F6B80"/>
    <w:rsid w:val="005F7EA7"/>
    <w:rsid w:val="006014CE"/>
    <w:rsid w:val="006048AB"/>
    <w:rsid w:val="00604FD9"/>
    <w:rsid w:val="006113F0"/>
    <w:rsid w:val="006129CA"/>
    <w:rsid w:val="00613004"/>
    <w:rsid w:val="00617D98"/>
    <w:rsid w:val="00624B91"/>
    <w:rsid w:val="006325BD"/>
    <w:rsid w:val="0063288F"/>
    <w:rsid w:val="006356E3"/>
    <w:rsid w:val="006448BD"/>
    <w:rsid w:val="00644C4A"/>
    <w:rsid w:val="00652D11"/>
    <w:rsid w:val="00652D17"/>
    <w:rsid w:val="00662FDA"/>
    <w:rsid w:val="006661D1"/>
    <w:rsid w:val="00675BF4"/>
    <w:rsid w:val="00676DC6"/>
    <w:rsid w:val="0068005D"/>
    <w:rsid w:val="00683098"/>
    <w:rsid w:val="00691190"/>
    <w:rsid w:val="006B7122"/>
    <w:rsid w:val="006C4312"/>
    <w:rsid w:val="006D167F"/>
    <w:rsid w:val="006D2FC7"/>
    <w:rsid w:val="006E002F"/>
    <w:rsid w:val="006E4F7A"/>
    <w:rsid w:val="006F08A7"/>
    <w:rsid w:val="00702869"/>
    <w:rsid w:val="00713351"/>
    <w:rsid w:val="0071344C"/>
    <w:rsid w:val="00720270"/>
    <w:rsid w:val="007248BE"/>
    <w:rsid w:val="00725A02"/>
    <w:rsid w:val="00732117"/>
    <w:rsid w:val="00736370"/>
    <w:rsid w:val="007448E0"/>
    <w:rsid w:val="00762527"/>
    <w:rsid w:val="00766B36"/>
    <w:rsid w:val="00795E94"/>
    <w:rsid w:val="007A0615"/>
    <w:rsid w:val="007A1A0B"/>
    <w:rsid w:val="007A20D0"/>
    <w:rsid w:val="007A4802"/>
    <w:rsid w:val="007A4CA1"/>
    <w:rsid w:val="007A59A4"/>
    <w:rsid w:val="007A713A"/>
    <w:rsid w:val="007A71B8"/>
    <w:rsid w:val="007B17F3"/>
    <w:rsid w:val="007B27AA"/>
    <w:rsid w:val="007B4D44"/>
    <w:rsid w:val="007D3B1B"/>
    <w:rsid w:val="007D46BE"/>
    <w:rsid w:val="007E4CA3"/>
    <w:rsid w:val="007E6080"/>
    <w:rsid w:val="007F0B45"/>
    <w:rsid w:val="007F3535"/>
    <w:rsid w:val="008011C8"/>
    <w:rsid w:val="0080397F"/>
    <w:rsid w:val="00814AAA"/>
    <w:rsid w:val="00815BE0"/>
    <w:rsid w:val="008205E9"/>
    <w:rsid w:val="00820C4F"/>
    <w:rsid w:val="0082163D"/>
    <w:rsid w:val="00826560"/>
    <w:rsid w:val="00827AB4"/>
    <w:rsid w:val="00831627"/>
    <w:rsid w:val="008352D9"/>
    <w:rsid w:val="00837DC6"/>
    <w:rsid w:val="00846700"/>
    <w:rsid w:val="00857248"/>
    <w:rsid w:val="008612CD"/>
    <w:rsid w:val="00862110"/>
    <w:rsid w:val="00862D13"/>
    <w:rsid w:val="00862DF0"/>
    <w:rsid w:val="0087043B"/>
    <w:rsid w:val="00870C8B"/>
    <w:rsid w:val="008755A3"/>
    <w:rsid w:val="00881552"/>
    <w:rsid w:val="0088375C"/>
    <w:rsid w:val="008947FA"/>
    <w:rsid w:val="00897215"/>
    <w:rsid w:val="008A0EEB"/>
    <w:rsid w:val="008A3026"/>
    <w:rsid w:val="008A31C1"/>
    <w:rsid w:val="008A40A6"/>
    <w:rsid w:val="008B0701"/>
    <w:rsid w:val="008B1301"/>
    <w:rsid w:val="008B3342"/>
    <w:rsid w:val="008B4C55"/>
    <w:rsid w:val="008B7DEA"/>
    <w:rsid w:val="008C389D"/>
    <w:rsid w:val="008C741E"/>
    <w:rsid w:val="008D069D"/>
    <w:rsid w:val="008D3E39"/>
    <w:rsid w:val="008D7FC2"/>
    <w:rsid w:val="008E54EA"/>
    <w:rsid w:val="008F5A6D"/>
    <w:rsid w:val="009066EF"/>
    <w:rsid w:val="00914AB3"/>
    <w:rsid w:val="0092287A"/>
    <w:rsid w:val="00922F4F"/>
    <w:rsid w:val="009253BE"/>
    <w:rsid w:val="00927156"/>
    <w:rsid w:val="00927BDB"/>
    <w:rsid w:val="00933A55"/>
    <w:rsid w:val="009414AD"/>
    <w:rsid w:val="00955B47"/>
    <w:rsid w:val="00957AF4"/>
    <w:rsid w:val="00966FB2"/>
    <w:rsid w:val="009715A2"/>
    <w:rsid w:val="009913D2"/>
    <w:rsid w:val="00997E03"/>
    <w:rsid w:val="009A0A75"/>
    <w:rsid w:val="009A5BD1"/>
    <w:rsid w:val="009B27CD"/>
    <w:rsid w:val="009B36F1"/>
    <w:rsid w:val="009C2EA9"/>
    <w:rsid w:val="009C7F92"/>
    <w:rsid w:val="009D64CC"/>
    <w:rsid w:val="009D7F42"/>
    <w:rsid w:val="009E60A5"/>
    <w:rsid w:val="009E723B"/>
    <w:rsid w:val="009F262B"/>
    <w:rsid w:val="009F2BA5"/>
    <w:rsid w:val="009F784F"/>
    <w:rsid w:val="00A006DE"/>
    <w:rsid w:val="00A01097"/>
    <w:rsid w:val="00A04180"/>
    <w:rsid w:val="00A16067"/>
    <w:rsid w:val="00A206B2"/>
    <w:rsid w:val="00A3297D"/>
    <w:rsid w:val="00A331F7"/>
    <w:rsid w:val="00A33A0A"/>
    <w:rsid w:val="00A35899"/>
    <w:rsid w:val="00A3693E"/>
    <w:rsid w:val="00A42AA4"/>
    <w:rsid w:val="00A5053F"/>
    <w:rsid w:val="00A5441F"/>
    <w:rsid w:val="00A86E9E"/>
    <w:rsid w:val="00A90627"/>
    <w:rsid w:val="00A909EF"/>
    <w:rsid w:val="00A96517"/>
    <w:rsid w:val="00AB237C"/>
    <w:rsid w:val="00AB4FED"/>
    <w:rsid w:val="00AB63F3"/>
    <w:rsid w:val="00AC6A5E"/>
    <w:rsid w:val="00AD5F1B"/>
    <w:rsid w:val="00AE0325"/>
    <w:rsid w:val="00AE0ACF"/>
    <w:rsid w:val="00AE132F"/>
    <w:rsid w:val="00AE2EBC"/>
    <w:rsid w:val="00AE6B3E"/>
    <w:rsid w:val="00AF0CFE"/>
    <w:rsid w:val="00AF3F57"/>
    <w:rsid w:val="00AF55C2"/>
    <w:rsid w:val="00B01FD0"/>
    <w:rsid w:val="00B077DB"/>
    <w:rsid w:val="00B2253C"/>
    <w:rsid w:val="00B27FD3"/>
    <w:rsid w:val="00B317CD"/>
    <w:rsid w:val="00B352EB"/>
    <w:rsid w:val="00B4378F"/>
    <w:rsid w:val="00B579ED"/>
    <w:rsid w:val="00B61BB0"/>
    <w:rsid w:val="00B6391E"/>
    <w:rsid w:val="00B659FC"/>
    <w:rsid w:val="00B70DCB"/>
    <w:rsid w:val="00B767C9"/>
    <w:rsid w:val="00B95603"/>
    <w:rsid w:val="00BA318C"/>
    <w:rsid w:val="00BB32B0"/>
    <w:rsid w:val="00BB7684"/>
    <w:rsid w:val="00BC1798"/>
    <w:rsid w:val="00BC5F7A"/>
    <w:rsid w:val="00BE0582"/>
    <w:rsid w:val="00BE25DD"/>
    <w:rsid w:val="00BE5DBD"/>
    <w:rsid w:val="00BF200E"/>
    <w:rsid w:val="00BF21F0"/>
    <w:rsid w:val="00BF2D57"/>
    <w:rsid w:val="00BF4FF8"/>
    <w:rsid w:val="00C014B0"/>
    <w:rsid w:val="00C043FE"/>
    <w:rsid w:val="00C04719"/>
    <w:rsid w:val="00C04FCA"/>
    <w:rsid w:val="00C0643E"/>
    <w:rsid w:val="00C11BDE"/>
    <w:rsid w:val="00C1353B"/>
    <w:rsid w:val="00C1783B"/>
    <w:rsid w:val="00C24076"/>
    <w:rsid w:val="00C35793"/>
    <w:rsid w:val="00C51894"/>
    <w:rsid w:val="00C552BC"/>
    <w:rsid w:val="00C554AD"/>
    <w:rsid w:val="00C6747A"/>
    <w:rsid w:val="00C77836"/>
    <w:rsid w:val="00C81EE9"/>
    <w:rsid w:val="00C86D84"/>
    <w:rsid w:val="00C936FD"/>
    <w:rsid w:val="00C95674"/>
    <w:rsid w:val="00C963C3"/>
    <w:rsid w:val="00C96E0A"/>
    <w:rsid w:val="00CA1BA4"/>
    <w:rsid w:val="00CA7AF0"/>
    <w:rsid w:val="00CB07AE"/>
    <w:rsid w:val="00CB36E4"/>
    <w:rsid w:val="00CB4121"/>
    <w:rsid w:val="00CC311A"/>
    <w:rsid w:val="00CC45A9"/>
    <w:rsid w:val="00CC79BE"/>
    <w:rsid w:val="00CD4CB0"/>
    <w:rsid w:val="00CE705E"/>
    <w:rsid w:val="00CF35D5"/>
    <w:rsid w:val="00D0084F"/>
    <w:rsid w:val="00D03485"/>
    <w:rsid w:val="00D20B7C"/>
    <w:rsid w:val="00D25D61"/>
    <w:rsid w:val="00D33410"/>
    <w:rsid w:val="00D37D40"/>
    <w:rsid w:val="00D40AF4"/>
    <w:rsid w:val="00D51A34"/>
    <w:rsid w:val="00D53F39"/>
    <w:rsid w:val="00D721E9"/>
    <w:rsid w:val="00D82825"/>
    <w:rsid w:val="00D86502"/>
    <w:rsid w:val="00D867D4"/>
    <w:rsid w:val="00DC0DFD"/>
    <w:rsid w:val="00DD54F1"/>
    <w:rsid w:val="00DD76C4"/>
    <w:rsid w:val="00DE3051"/>
    <w:rsid w:val="00DE3763"/>
    <w:rsid w:val="00DE62A4"/>
    <w:rsid w:val="00DF14E0"/>
    <w:rsid w:val="00DF3839"/>
    <w:rsid w:val="00E03DE8"/>
    <w:rsid w:val="00E11CE1"/>
    <w:rsid w:val="00E15582"/>
    <w:rsid w:val="00E2340F"/>
    <w:rsid w:val="00E263C1"/>
    <w:rsid w:val="00E3122B"/>
    <w:rsid w:val="00E32305"/>
    <w:rsid w:val="00E330E3"/>
    <w:rsid w:val="00E35847"/>
    <w:rsid w:val="00E36C1E"/>
    <w:rsid w:val="00E3718E"/>
    <w:rsid w:val="00E41FAC"/>
    <w:rsid w:val="00E4353D"/>
    <w:rsid w:val="00E45F29"/>
    <w:rsid w:val="00E544FB"/>
    <w:rsid w:val="00E701EE"/>
    <w:rsid w:val="00E7268E"/>
    <w:rsid w:val="00E747AF"/>
    <w:rsid w:val="00E74BA6"/>
    <w:rsid w:val="00E75C79"/>
    <w:rsid w:val="00E83448"/>
    <w:rsid w:val="00E90040"/>
    <w:rsid w:val="00E90697"/>
    <w:rsid w:val="00E92920"/>
    <w:rsid w:val="00EA2A6A"/>
    <w:rsid w:val="00EA5591"/>
    <w:rsid w:val="00EA741B"/>
    <w:rsid w:val="00EB26D8"/>
    <w:rsid w:val="00EB2BA2"/>
    <w:rsid w:val="00EC1ACB"/>
    <w:rsid w:val="00ED79D1"/>
    <w:rsid w:val="00EE4350"/>
    <w:rsid w:val="00EF2D39"/>
    <w:rsid w:val="00EF7B9C"/>
    <w:rsid w:val="00F0260A"/>
    <w:rsid w:val="00F140A1"/>
    <w:rsid w:val="00F24188"/>
    <w:rsid w:val="00F2685F"/>
    <w:rsid w:val="00F31EC0"/>
    <w:rsid w:val="00F32935"/>
    <w:rsid w:val="00F40017"/>
    <w:rsid w:val="00F40AC7"/>
    <w:rsid w:val="00F5586E"/>
    <w:rsid w:val="00F63CAA"/>
    <w:rsid w:val="00F658D4"/>
    <w:rsid w:val="00F73A68"/>
    <w:rsid w:val="00F747A4"/>
    <w:rsid w:val="00F765A1"/>
    <w:rsid w:val="00F773E7"/>
    <w:rsid w:val="00F81BF0"/>
    <w:rsid w:val="00F82547"/>
    <w:rsid w:val="00F8684B"/>
    <w:rsid w:val="00F90AE9"/>
    <w:rsid w:val="00F97A3D"/>
    <w:rsid w:val="00FA6B04"/>
    <w:rsid w:val="00FA7709"/>
    <w:rsid w:val="00FB1415"/>
    <w:rsid w:val="00FB32F6"/>
    <w:rsid w:val="00FE3B21"/>
    <w:rsid w:val="00F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317E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4FCA"/>
    <w:pPr>
      <w:spacing w:after="120" w:line="320" w:lineRule="atLeast"/>
      <w:jc w:val="both"/>
    </w:pPr>
  </w:style>
  <w:style w:type="paragraph" w:styleId="Heading1">
    <w:name w:val="heading 1"/>
    <w:basedOn w:val="Normal"/>
    <w:next w:val="Normal"/>
    <w:link w:val="Heading1Char"/>
    <w:uiPriority w:val="9"/>
    <w:rsid w:val="00494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40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ICMEHeading1">
    <w:name w:val="ICME Heading 1"/>
    <w:basedOn w:val="ICMENormal"/>
    <w:qFormat/>
    <w:rsid w:val="007B27AA"/>
    <w:pPr>
      <w:keepNext/>
      <w:spacing w:before="120"/>
      <w:jc w:val="center"/>
      <w:outlineLvl w:val="0"/>
    </w:pPr>
    <w:rPr>
      <w:b/>
      <w:bCs/>
      <w:caps/>
      <w:sz w:val="28"/>
      <w:szCs w:val="32"/>
    </w:rPr>
  </w:style>
  <w:style w:type="paragraph" w:customStyle="1" w:styleId="ICMEAuthorInstitution">
    <w:name w:val="ICME Author/Institution"/>
    <w:basedOn w:val="ICMENormal"/>
    <w:qFormat/>
    <w:rsid w:val="008B1301"/>
    <w:pPr>
      <w:jc w:val="center"/>
    </w:pPr>
  </w:style>
  <w:style w:type="paragraph" w:customStyle="1" w:styleId="ICMEAbstract">
    <w:name w:val="ICME Abstract"/>
    <w:basedOn w:val="ICMENormal"/>
    <w:qFormat/>
    <w:rsid w:val="008B1301"/>
    <w:pPr>
      <w:spacing w:after="240"/>
    </w:pPr>
    <w:rPr>
      <w:i/>
    </w:rPr>
  </w:style>
  <w:style w:type="paragraph" w:customStyle="1" w:styleId="ICMEHeading2">
    <w:name w:val="ICME Heading 2"/>
    <w:basedOn w:val="Normal"/>
    <w:qFormat/>
    <w:rsid w:val="00BE0582"/>
    <w:pPr>
      <w:keepNext/>
      <w:spacing w:before="120"/>
      <w:outlineLvl w:val="1"/>
    </w:pPr>
    <w:rPr>
      <w:b/>
      <w:bCs/>
      <w:caps/>
      <w:kern w:val="28"/>
      <w:sz w:val="24"/>
    </w:rPr>
  </w:style>
  <w:style w:type="paragraph" w:customStyle="1" w:styleId="ICMEHeading3">
    <w:name w:val="ICME Heading 3"/>
    <w:basedOn w:val="Normal"/>
    <w:qFormat/>
    <w:rsid w:val="00BE0582"/>
    <w:pPr>
      <w:keepNext/>
      <w:outlineLvl w:val="2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C0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FCA"/>
    <w:rPr>
      <w:rFonts w:ascii="Times New Roman" w:hAnsi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3FEC"/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FEC"/>
    <w:rPr>
      <w:rFonts w:ascii="Times New Roman" w:hAnsi="Times New Roman"/>
      <w:sz w:val="28"/>
      <w:lang w:val="en-US"/>
    </w:rPr>
  </w:style>
  <w:style w:type="paragraph" w:customStyle="1" w:styleId="ICMEBaselineFirstPage">
    <w:name w:val="ICME Baseline First Page"/>
    <w:basedOn w:val="ICMENormal"/>
    <w:qFormat/>
    <w:rsid w:val="00BE0582"/>
    <w:pPr>
      <w:spacing w:after="0" w:line="240" w:lineRule="auto"/>
    </w:pPr>
    <w:rPr>
      <w:sz w:val="21"/>
      <w:szCs w:val="21"/>
    </w:rPr>
  </w:style>
  <w:style w:type="table" w:styleId="TableGrid">
    <w:name w:val="Table Grid"/>
    <w:basedOn w:val="TableNormal"/>
    <w:uiPriority w:val="59"/>
    <w:rsid w:val="00C9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CMENormal">
    <w:name w:val="ICME Normal"/>
    <w:qFormat/>
    <w:rsid w:val="00BE0582"/>
    <w:pPr>
      <w:spacing w:after="120" w:line="320" w:lineRule="atLeast"/>
      <w:jc w:val="both"/>
    </w:pPr>
    <w:rPr>
      <w:sz w:val="24"/>
      <w:lang w:val="en-US"/>
    </w:rPr>
  </w:style>
  <w:style w:type="paragraph" w:customStyle="1" w:styleId="PMEBaseline">
    <w:name w:val="PME Baseline"/>
    <w:basedOn w:val="ICMENormal"/>
    <w:rsid w:val="00E83448"/>
    <w:pPr>
      <w:tabs>
        <w:tab w:val="right" w:pos="9639"/>
      </w:tabs>
    </w:pPr>
  </w:style>
  <w:style w:type="paragraph" w:customStyle="1" w:styleId="ICMEHeadline">
    <w:name w:val="ICME Headline"/>
    <w:basedOn w:val="Normal"/>
    <w:rsid w:val="001A1727"/>
    <w:rPr>
      <w:i/>
    </w:rPr>
  </w:style>
  <w:style w:type="paragraph" w:customStyle="1" w:styleId="PMEFigTitle">
    <w:name w:val="PME Fig Title"/>
    <w:basedOn w:val="ICMENormal"/>
    <w:next w:val="ICMENormal"/>
    <w:rsid w:val="00E83448"/>
    <w:pPr>
      <w:spacing w:before="120"/>
      <w:jc w:val="center"/>
    </w:pPr>
  </w:style>
  <w:style w:type="paragraph" w:customStyle="1" w:styleId="ICMEQuote">
    <w:name w:val="ICME Quote"/>
    <w:basedOn w:val="ICMENormal"/>
    <w:next w:val="ICMENormal"/>
    <w:qFormat/>
    <w:rsid w:val="006325BD"/>
    <w:pPr>
      <w:spacing w:line="260" w:lineRule="atLeast"/>
      <w:ind w:left="289"/>
    </w:pPr>
    <w:rPr>
      <w:sz w:val="22"/>
      <w:szCs w:val="26"/>
    </w:rPr>
  </w:style>
  <w:style w:type="paragraph" w:customStyle="1" w:styleId="ICMENumberedTranscript">
    <w:name w:val="ICME Numbered Transcript"/>
    <w:basedOn w:val="ICMENormal"/>
    <w:qFormat/>
    <w:rsid w:val="00F40017"/>
    <w:pPr>
      <w:tabs>
        <w:tab w:val="left" w:pos="992"/>
      </w:tabs>
      <w:spacing w:line="260" w:lineRule="atLeast"/>
      <w:ind w:left="1843" w:hanging="1440"/>
    </w:pPr>
  </w:style>
  <w:style w:type="paragraph" w:customStyle="1" w:styleId="ICMETranscript">
    <w:name w:val="ICME Transcript"/>
    <w:basedOn w:val="ICMENormal"/>
    <w:qFormat/>
    <w:rsid w:val="008D7FC2"/>
    <w:pPr>
      <w:spacing w:line="260" w:lineRule="atLeast"/>
      <w:ind w:left="1843" w:hanging="1440"/>
    </w:pPr>
    <w:rPr>
      <w:sz w:val="22"/>
      <w:szCs w:val="26"/>
    </w:rPr>
  </w:style>
  <w:style w:type="paragraph" w:customStyle="1" w:styleId="PMEBullet">
    <w:name w:val="PME Bullet"/>
    <w:basedOn w:val="ICMENormal"/>
    <w:rsid w:val="000F3151"/>
    <w:pPr>
      <w:numPr>
        <w:numId w:val="1"/>
      </w:numPr>
      <w:spacing w:after="0"/>
      <w:ind w:left="992" w:hanging="567"/>
    </w:pPr>
  </w:style>
  <w:style w:type="paragraph" w:customStyle="1" w:styleId="ICMEReferences">
    <w:name w:val="ICME References"/>
    <w:basedOn w:val="ICMENormal"/>
    <w:qFormat/>
    <w:rsid w:val="007B27AA"/>
    <w:pPr>
      <w:spacing w:line="260" w:lineRule="atLeast"/>
      <w:ind w:left="289" w:hanging="289"/>
    </w:pPr>
    <w:rPr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EA"/>
    <w:rPr>
      <w:rFonts w:ascii="Tahoma" w:hAnsi="Tahoma" w:cs="Tahoma"/>
      <w:sz w:val="16"/>
      <w:szCs w:val="16"/>
    </w:rPr>
  </w:style>
  <w:style w:type="paragraph" w:customStyle="1" w:styleId="ICMEFigTitle">
    <w:name w:val="ICME Fig Title"/>
    <w:basedOn w:val="PMEFigTitle"/>
    <w:qFormat/>
    <w:rsid w:val="00F40017"/>
  </w:style>
  <w:style w:type="character" w:styleId="CommentReference">
    <w:name w:val="annotation reference"/>
    <w:basedOn w:val="DefaultParagraphFont"/>
    <w:uiPriority w:val="99"/>
    <w:semiHidden/>
    <w:unhideWhenUsed/>
    <w:rsid w:val="00D034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4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4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4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4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4F7A"/>
  </w:style>
  <w:style w:type="paragraph" w:styleId="NormalWeb">
    <w:name w:val="Normal (Web)"/>
    <w:basedOn w:val="Normal"/>
    <w:uiPriority w:val="99"/>
    <w:semiHidden/>
    <w:unhideWhenUsed/>
    <w:rsid w:val="00C1783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04FCA"/>
    <w:pPr>
      <w:spacing w:after="120" w:line="320" w:lineRule="atLeast"/>
      <w:jc w:val="both"/>
    </w:pPr>
  </w:style>
  <w:style w:type="paragraph" w:styleId="Heading1">
    <w:name w:val="heading 1"/>
    <w:basedOn w:val="Normal"/>
    <w:next w:val="Normal"/>
    <w:link w:val="Heading1Char"/>
    <w:uiPriority w:val="9"/>
    <w:rsid w:val="00494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40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ICMEHeading1">
    <w:name w:val="ICME Heading 1"/>
    <w:basedOn w:val="ICMENormal"/>
    <w:qFormat/>
    <w:rsid w:val="007B27AA"/>
    <w:pPr>
      <w:keepNext/>
      <w:spacing w:before="120"/>
      <w:jc w:val="center"/>
      <w:outlineLvl w:val="0"/>
    </w:pPr>
    <w:rPr>
      <w:b/>
      <w:bCs/>
      <w:caps/>
      <w:sz w:val="28"/>
      <w:szCs w:val="32"/>
    </w:rPr>
  </w:style>
  <w:style w:type="paragraph" w:customStyle="1" w:styleId="ICMEAuthorInstitution">
    <w:name w:val="ICME Author/Institution"/>
    <w:basedOn w:val="ICMENormal"/>
    <w:qFormat/>
    <w:rsid w:val="008B1301"/>
    <w:pPr>
      <w:jc w:val="center"/>
    </w:pPr>
  </w:style>
  <w:style w:type="paragraph" w:customStyle="1" w:styleId="ICMEAbstract">
    <w:name w:val="ICME Abstract"/>
    <w:basedOn w:val="ICMENormal"/>
    <w:qFormat/>
    <w:rsid w:val="008B1301"/>
    <w:pPr>
      <w:spacing w:after="240"/>
    </w:pPr>
    <w:rPr>
      <w:i/>
    </w:rPr>
  </w:style>
  <w:style w:type="paragraph" w:customStyle="1" w:styleId="ICMEHeading2">
    <w:name w:val="ICME Heading 2"/>
    <w:basedOn w:val="Normal"/>
    <w:qFormat/>
    <w:rsid w:val="00BE0582"/>
    <w:pPr>
      <w:keepNext/>
      <w:spacing w:before="120"/>
      <w:outlineLvl w:val="1"/>
    </w:pPr>
    <w:rPr>
      <w:b/>
      <w:bCs/>
      <w:caps/>
      <w:kern w:val="28"/>
      <w:sz w:val="24"/>
    </w:rPr>
  </w:style>
  <w:style w:type="paragraph" w:customStyle="1" w:styleId="ICMEHeading3">
    <w:name w:val="ICME Heading 3"/>
    <w:basedOn w:val="Normal"/>
    <w:qFormat/>
    <w:rsid w:val="00BE0582"/>
    <w:pPr>
      <w:keepNext/>
      <w:outlineLvl w:val="2"/>
    </w:pPr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C04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FCA"/>
    <w:rPr>
      <w:rFonts w:ascii="Times New Roman" w:hAnsi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3FEC"/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FEC"/>
    <w:rPr>
      <w:rFonts w:ascii="Times New Roman" w:hAnsi="Times New Roman"/>
      <w:sz w:val="28"/>
      <w:lang w:val="en-US"/>
    </w:rPr>
  </w:style>
  <w:style w:type="paragraph" w:customStyle="1" w:styleId="ICMEBaselineFirstPage">
    <w:name w:val="ICME Baseline First Page"/>
    <w:basedOn w:val="ICMENormal"/>
    <w:qFormat/>
    <w:rsid w:val="00BE0582"/>
    <w:pPr>
      <w:spacing w:after="0" w:line="240" w:lineRule="auto"/>
    </w:pPr>
    <w:rPr>
      <w:sz w:val="21"/>
      <w:szCs w:val="21"/>
    </w:rPr>
  </w:style>
  <w:style w:type="table" w:styleId="TableGrid">
    <w:name w:val="Table Grid"/>
    <w:basedOn w:val="TableNormal"/>
    <w:uiPriority w:val="59"/>
    <w:rsid w:val="00C9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CMENormal">
    <w:name w:val="ICME Normal"/>
    <w:qFormat/>
    <w:rsid w:val="00BE0582"/>
    <w:pPr>
      <w:spacing w:after="120" w:line="320" w:lineRule="atLeast"/>
      <w:jc w:val="both"/>
    </w:pPr>
    <w:rPr>
      <w:sz w:val="24"/>
      <w:lang w:val="en-US"/>
    </w:rPr>
  </w:style>
  <w:style w:type="paragraph" w:customStyle="1" w:styleId="PMEBaseline">
    <w:name w:val="PME Baseline"/>
    <w:basedOn w:val="ICMENormal"/>
    <w:rsid w:val="00E83448"/>
    <w:pPr>
      <w:tabs>
        <w:tab w:val="right" w:pos="9639"/>
      </w:tabs>
    </w:pPr>
  </w:style>
  <w:style w:type="paragraph" w:customStyle="1" w:styleId="ICMEHeadline">
    <w:name w:val="ICME Headline"/>
    <w:basedOn w:val="Normal"/>
    <w:rsid w:val="001A1727"/>
    <w:rPr>
      <w:i/>
    </w:rPr>
  </w:style>
  <w:style w:type="paragraph" w:customStyle="1" w:styleId="PMEFigTitle">
    <w:name w:val="PME Fig Title"/>
    <w:basedOn w:val="ICMENormal"/>
    <w:next w:val="ICMENormal"/>
    <w:rsid w:val="00E83448"/>
    <w:pPr>
      <w:spacing w:before="120"/>
      <w:jc w:val="center"/>
    </w:pPr>
  </w:style>
  <w:style w:type="paragraph" w:customStyle="1" w:styleId="ICMEQuote">
    <w:name w:val="ICME Quote"/>
    <w:basedOn w:val="ICMENormal"/>
    <w:next w:val="ICMENormal"/>
    <w:qFormat/>
    <w:rsid w:val="006325BD"/>
    <w:pPr>
      <w:spacing w:line="260" w:lineRule="atLeast"/>
      <w:ind w:left="289"/>
    </w:pPr>
    <w:rPr>
      <w:sz w:val="22"/>
      <w:szCs w:val="26"/>
    </w:rPr>
  </w:style>
  <w:style w:type="paragraph" w:customStyle="1" w:styleId="ICMENumberedTranscript">
    <w:name w:val="ICME Numbered Transcript"/>
    <w:basedOn w:val="ICMENormal"/>
    <w:qFormat/>
    <w:rsid w:val="00F40017"/>
    <w:pPr>
      <w:tabs>
        <w:tab w:val="left" w:pos="992"/>
      </w:tabs>
      <w:spacing w:line="260" w:lineRule="atLeast"/>
      <w:ind w:left="1843" w:hanging="1440"/>
    </w:pPr>
  </w:style>
  <w:style w:type="paragraph" w:customStyle="1" w:styleId="ICMETranscript">
    <w:name w:val="ICME Transcript"/>
    <w:basedOn w:val="ICMENormal"/>
    <w:qFormat/>
    <w:rsid w:val="008D7FC2"/>
    <w:pPr>
      <w:spacing w:line="260" w:lineRule="atLeast"/>
      <w:ind w:left="1843" w:hanging="1440"/>
    </w:pPr>
    <w:rPr>
      <w:sz w:val="22"/>
      <w:szCs w:val="26"/>
    </w:rPr>
  </w:style>
  <w:style w:type="paragraph" w:customStyle="1" w:styleId="PMEBullet">
    <w:name w:val="PME Bullet"/>
    <w:basedOn w:val="ICMENormal"/>
    <w:rsid w:val="000F3151"/>
    <w:pPr>
      <w:numPr>
        <w:numId w:val="1"/>
      </w:numPr>
      <w:spacing w:after="0"/>
      <w:ind w:left="992" w:hanging="567"/>
    </w:pPr>
  </w:style>
  <w:style w:type="paragraph" w:customStyle="1" w:styleId="ICMEReferences">
    <w:name w:val="ICME References"/>
    <w:basedOn w:val="ICMENormal"/>
    <w:qFormat/>
    <w:rsid w:val="007B27AA"/>
    <w:pPr>
      <w:spacing w:line="260" w:lineRule="atLeast"/>
      <w:ind w:left="289" w:hanging="289"/>
    </w:pPr>
    <w:rPr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EA"/>
    <w:rPr>
      <w:rFonts w:ascii="Tahoma" w:hAnsi="Tahoma" w:cs="Tahoma"/>
      <w:sz w:val="16"/>
      <w:szCs w:val="16"/>
    </w:rPr>
  </w:style>
  <w:style w:type="paragraph" w:customStyle="1" w:styleId="ICMEFigTitle">
    <w:name w:val="ICME Fig Title"/>
    <w:basedOn w:val="PMEFigTitle"/>
    <w:qFormat/>
    <w:rsid w:val="00F40017"/>
  </w:style>
  <w:style w:type="character" w:styleId="CommentReference">
    <w:name w:val="annotation reference"/>
    <w:basedOn w:val="DefaultParagraphFont"/>
    <w:uiPriority w:val="99"/>
    <w:semiHidden/>
    <w:unhideWhenUsed/>
    <w:rsid w:val="00D034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4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4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4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4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4F7A"/>
  </w:style>
  <w:style w:type="paragraph" w:styleId="NormalWeb">
    <w:name w:val="Normal (Web)"/>
    <w:basedOn w:val="Normal"/>
    <w:uiPriority w:val="99"/>
    <w:semiHidden/>
    <w:unhideWhenUsed/>
    <w:rsid w:val="00C1783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4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eKaiser\AppData\Local\Microsoft\Windows\Temporary%20Internet%20Files\Content.Outlook\FDFIZ6KX\1301xx_PME_Template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9A1ED5-9DDC-2A43-B109-18411191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\Users\GabrieleKaiser\AppData\Local\Microsoft\Windows\Temporary Internet Files\Content.Outlook\FDFIZ6KX\1301xx_PME_Template.dot</Template>
  <TotalTime>2</TotalTime>
  <Pages>4</Pages>
  <Words>2012</Words>
  <Characters>11474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template-ICME-13</vt:lpstr>
    </vt:vector>
  </TitlesOfParts>
  <Company>LMU München</Company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template-ICME-13</dc:title>
  <dc:creator>GabrieleKaiser</dc:creator>
  <cp:lastModifiedBy>Zelha Pekkan</cp:lastModifiedBy>
  <cp:revision>2</cp:revision>
  <dcterms:created xsi:type="dcterms:W3CDTF">2015-10-15T08:33:00Z</dcterms:created>
  <dcterms:modified xsi:type="dcterms:W3CDTF">2015-10-15T08:33:00Z</dcterms:modified>
</cp:coreProperties>
</file>